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38F9" w14:textId="77777777" w:rsidR="00062017" w:rsidRDefault="002916ED">
      <w:pPr>
        <w:jc w:val="center"/>
      </w:pPr>
      <w:r>
        <w:rPr>
          <w:rFonts w:ascii="Lato" w:eastAsia="Calibri" w:hAnsi="Lato" w:cs="Times New Roman"/>
          <w:noProof/>
          <w:sz w:val="22"/>
          <w:lang w:eastAsia="pl-PL"/>
        </w:rPr>
        <w:drawing>
          <wp:inline distT="0" distB="0" distL="0" distR="0" wp14:anchorId="4C35042F" wp14:editId="28EE643B">
            <wp:extent cx="2381885" cy="10617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1885" cy="1061720"/>
                    </a:xfrm>
                    <a:prstGeom prst="rect">
                      <a:avLst/>
                    </a:prstGeom>
                    <a:noFill/>
                    <a:ln>
                      <a:noFill/>
                    </a:ln>
                  </pic:spPr>
                </pic:pic>
              </a:graphicData>
            </a:graphic>
          </wp:inline>
        </w:drawing>
      </w:r>
    </w:p>
    <w:p w14:paraId="2C257F43" w14:textId="77777777" w:rsidR="00062017" w:rsidRDefault="00062017"/>
    <w:p w14:paraId="35900485" w14:textId="77777777" w:rsidR="00062017" w:rsidRDefault="00062017">
      <w:pPr>
        <w:jc w:val="both"/>
        <w:rPr>
          <w:rFonts w:ascii="Lato" w:hAnsi="Lato" w:cs="Arial"/>
          <w:sz w:val="22"/>
        </w:rPr>
      </w:pPr>
    </w:p>
    <w:p w14:paraId="456FA063" w14:textId="77777777" w:rsidR="00062017" w:rsidRDefault="00062017">
      <w:pPr>
        <w:jc w:val="both"/>
        <w:rPr>
          <w:rFonts w:ascii="Lato" w:hAnsi="Lato" w:cs="Arial"/>
          <w:sz w:val="22"/>
        </w:rPr>
      </w:pPr>
    </w:p>
    <w:p w14:paraId="6668C456" w14:textId="77777777" w:rsidR="00062017" w:rsidRDefault="002916ED">
      <w:pPr>
        <w:jc w:val="center"/>
        <w:rPr>
          <w:rFonts w:ascii="Lato" w:hAnsi="Lato" w:cs="Arial"/>
          <w:b/>
          <w:bCs/>
          <w:sz w:val="22"/>
        </w:rPr>
      </w:pPr>
      <w:r>
        <w:rPr>
          <w:rFonts w:ascii="Lato" w:hAnsi="Lato" w:cs="Arial"/>
          <w:b/>
          <w:bCs/>
          <w:sz w:val="22"/>
        </w:rPr>
        <w:t xml:space="preserve">Szablon oceny skutków dla ochrony danych (DPIA - Data </w:t>
      </w:r>
      <w:proofErr w:type="spellStart"/>
      <w:r>
        <w:rPr>
          <w:rFonts w:ascii="Lato" w:hAnsi="Lato" w:cs="Arial"/>
          <w:b/>
          <w:bCs/>
          <w:sz w:val="22"/>
        </w:rPr>
        <w:t>Protection</w:t>
      </w:r>
      <w:proofErr w:type="spellEnd"/>
      <w:r>
        <w:rPr>
          <w:rFonts w:ascii="Lato" w:hAnsi="Lato" w:cs="Arial"/>
          <w:b/>
          <w:bCs/>
          <w:sz w:val="22"/>
        </w:rPr>
        <w:t xml:space="preserve"> </w:t>
      </w:r>
      <w:proofErr w:type="spellStart"/>
      <w:r>
        <w:rPr>
          <w:rFonts w:ascii="Lato" w:hAnsi="Lato" w:cs="Arial"/>
          <w:b/>
          <w:bCs/>
          <w:sz w:val="22"/>
        </w:rPr>
        <w:t>Impact</w:t>
      </w:r>
      <w:proofErr w:type="spellEnd"/>
      <w:r>
        <w:rPr>
          <w:rFonts w:ascii="Lato" w:hAnsi="Lato" w:cs="Arial"/>
          <w:b/>
          <w:bCs/>
          <w:sz w:val="22"/>
        </w:rPr>
        <w:t xml:space="preserve"> </w:t>
      </w:r>
      <w:proofErr w:type="spellStart"/>
      <w:r>
        <w:rPr>
          <w:rFonts w:ascii="Lato" w:hAnsi="Lato" w:cs="Arial"/>
          <w:b/>
          <w:bCs/>
          <w:sz w:val="22"/>
        </w:rPr>
        <w:t>Assessment</w:t>
      </w:r>
      <w:proofErr w:type="spellEnd"/>
      <w:r>
        <w:rPr>
          <w:rFonts w:ascii="Lato" w:hAnsi="Lato" w:cs="Arial"/>
          <w:b/>
          <w:bCs/>
          <w:sz w:val="22"/>
        </w:rPr>
        <w:t>)</w:t>
      </w:r>
    </w:p>
    <w:p w14:paraId="5C41174B" w14:textId="0F8B17ED" w:rsidR="00062017" w:rsidRDefault="002916ED">
      <w:pPr>
        <w:jc w:val="center"/>
        <w:rPr>
          <w:rFonts w:ascii="Lato" w:hAnsi="Lato" w:cs="Arial"/>
          <w:b/>
          <w:bCs/>
          <w:sz w:val="22"/>
        </w:rPr>
      </w:pPr>
      <w:r>
        <w:rPr>
          <w:rFonts w:ascii="Lato" w:hAnsi="Lato" w:cs="Arial"/>
          <w:b/>
          <w:bCs/>
          <w:sz w:val="22"/>
        </w:rPr>
        <w:t xml:space="preserve">dla projektów aktów </w:t>
      </w:r>
      <w:r w:rsidR="00FF4836">
        <w:rPr>
          <w:rFonts w:ascii="Lato" w:hAnsi="Lato" w:cs="Arial"/>
          <w:b/>
          <w:bCs/>
          <w:sz w:val="22"/>
        </w:rPr>
        <w:t>normatywnych Ministra</w:t>
      </w:r>
      <w:r>
        <w:rPr>
          <w:rFonts w:ascii="Lato" w:hAnsi="Lato" w:cs="Arial"/>
          <w:b/>
          <w:bCs/>
          <w:sz w:val="22"/>
        </w:rPr>
        <w:t xml:space="preserve"> Zdrowia, które mogą wywierać wpływ na obszar danych osobowych</w:t>
      </w:r>
    </w:p>
    <w:p w14:paraId="48278258" w14:textId="77777777" w:rsidR="00062017" w:rsidRDefault="00062017">
      <w:pPr>
        <w:jc w:val="both"/>
        <w:rPr>
          <w:rFonts w:ascii="Lato" w:hAnsi="Lato" w:cs="Arial"/>
          <w:sz w:val="22"/>
        </w:rPr>
      </w:pPr>
    </w:p>
    <w:p w14:paraId="2EC04B9A" w14:textId="77777777" w:rsidR="00062017" w:rsidRDefault="00062017">
      <w:pPr>
        <w:jc w:val="both"/>
        <w:rPr>
          <w:rFonts w:ascii="Lato" w:hAnsi="Lato" w:cs="Arial"/>
          <w:sz w:val="22"/>
        </w:rPr>
      </w:pPr>
    </w:p>
    <w:p w14:paraId="2221206C" w14:textId="31D881EA" w:rsidR="00062017" w:rsidRDefault="002916ED">
      <w:pPr>
        <w:jc w:val="both"/>
        <w:rPr>
          <w:rStyle w:val="markedcontent"/>
          <w:rFonts w:ascii="Lato" w:hAnsi="Lato" w:cs="Arial"/>
          <w:sz w:val="22"/>
        </w:rPr>
      </w:pPr>
      <w:r>
        <w:rPr>
          <w:rFonts w:ascii="Lato" w:hAnsi="Lato" w:cs="Arial"/>
          <w:sz w:val="22"/>
        </w:rPr>
        <w:t xml:space="preserve">Szablon dokumentujący przeprowadzenie w fazie projektowania aktu normatywnego oceny skutków planowanych operacji dla ochrony danych osobowych – analiza </w:t>
      </w:r>
      <w:r>
        <w:rPr>
          <w:rFonts w:ascii="Lato" w:hAnsi="Lato" w:cs="Arial"/>
          <w:i/>
          <w:iCs/>
          <w:sz w:val="22"/>
        </w:rPr>
        <w:t xml:space="preserve">DPIA (Data </w:t>
      </w:r>
      <w:proofErr w:type="spellStart"/>
      <w:r>
        <w:rPr>
          <w:rFonts w:ascii="Lato" w:hAnsi="Lato" w:cs="Arial"/>
          <w:i/>
          <w:iCs/>
          <w:sz w:val="22"/>
        </w:rPr>
        <w:t>Protection</w:t>
      </w:r>
      <w:proofErr w:type="spellEnd"/>
      <w:r>
        <w:rPr>
          <w:rFonts w:ascii="Lato" w:hAnsi="Lato" w:cs="Arial"/>
          <w:i/>
          <w:iCs/>
          <w:sz w:val="22"/>
        </w:rPr>
        <w:t xml:space="preserve"> </w:t>
      </w:r>
      <w:proofErr w:type="spellStart"/>
      <w:r>
        <w:rPr>
          <w:rFonts w:ascii="Lato" w:hAnsi="Lato" w:cs="Arial"/>
          <w:i/>
          <w:iCs/>
          <w:sz w:val="22"/>
        </w:rPr>
        <w:t>Impact</w:t>
      </w:r>
      <w:proofErr w:type="spellEnd"/>
      <w:r>
        <w:rPr>
          <w:rFonts w:ascii="Lato" w:hAnsi="Lato" w:cs="Arial"/>
          <w:i/>
          <w:iCs/>
          <w:sz w:val="22"/>
        </w:rPr>
        <w:t xml:space="preserve"> </w:t>
      </w:r>
      <w:proofErr w:type="spellStart"/>
      <w:r>
        <w:rPr>
          <w:rFonts w:ascii="Lato" w:hAnsi="Lato" w:cs="Arial"/>
          <w:i/>
          <w:iCs/>
          <w:sz w:val="22"/>
        </w:rPr>
        <w:t>Assessment</w:t>
      </w:r>
      <w:proofErr w:type="spellEnd"/>
      <w:r>
        <w:rPr>
          <w:rFonts w:ascii="Lato" w:hAnsi="Lato" w:cs="Arial"/>
          <w:sz w:val="22"/>
        </w:rPr>
        <w:t>). Przeprowadzenie oceny skutków dla ochrony danych dla określonego rodzaju projektów aktów prawnych w ramach oceny skutków regulacji stanowi realizację postanowień przepisu art. 35 RODO</w:t>
      </w:r>
      <w:r>
        <w:rPr>
          <w:rStyle w:val="Odwoanieprzypisudolnego"/>
          <w:rFonts w:ascii="Lato" w:hAnsi="Lato" w:cs="Arial"/>
          <w:sz w:val="22"/>
        </w:rPr>
        <w:footnoteReference w:id="1"/>
      </w:r>
      <w:r>
        <w:rPr>
          <w:rFonts w:ascii="Lato" w:hAnsi="Lato" w:cs="Arial"/>
          <w:sz w:val="22"/>
        </w:rPr>
        <w:t xml:space="preserve">. Szablon powinien być uzupełniony na etapie planowania projektu aktu normatywnego, który </w:t>
      </w:r>
      <w:r>
        <w:rPr>
          <w:rFonts w:ascii="Lato" w:hAnsi="Lato" w:cs="Arial"/>
          <w:sz w:val="22"/>
        </w:rPr>
        <w:br/>
        <w:t xml:space="preserve">może wywierać wpływ na obszar danych </w:t>
      </w:r>
      <w:r w:rsidR="00FF4836">
        <w:rPr>
          <w:rFonts w:ascii="Lato" w:hAnsi="Lato" w:cs="Arial"/>
          <w:sz w:val="22"/>
        </w:rPr>
        <w:t>osobowych</w:t>
      </w:r>
      <w:r>
        <w:rPr>
          <w:rFonts w:ascii="Lato" w:hAnsi="Lato" w:cs="Arial"/>
          <w:sz w:val="22"/>
        </w:rPr>
        <w:t xml:space="preserve"> lub którego przyjęcie będzie wiązało się ze zmianą istniejącego procesu w tym zakresie. Szablon znajduje zastosowanie do oceny skutków dla ochrony danych prowadzonych w procesie legislacyjnym. </w:t>
      </w:r>
    </w:p>
    <w:p w14:paraId="6BE5A207" w14:textId="77777777" w:rsidR="00062017" w:rsidRDefault="00062017">
      <w:pPr>
        <w:jc w:val="both"/>
        <w:rPr>
          <w:rFonts w:ascii="Lato" w:hAnsi="Lato" w:cs="Arial"/>
          <w:sz w:val="22"/>
        </w:rPr>
      </w:pPr>
    </w:p>
    <w:p w14:paraId="6385DBBB" w14:textId="59FCCEE4" w:rsidR="00062017" w:rsidRDefault="002916ED">
      <w:pPr>
        <w:jc w:val="both"/>
        <w:rPr>
          <w:rStyle w:val="markedcontent"/>
          <w:rFonts w:ascii="Lato" w:hAnsi="Lato" w:cs="Arial"/>
          <w:sz w:val="22"/>
        </w:rPr>
      </w:pPr>
      <w:r>
        <w:rPr>
          <w:rFonts w:ascii="Lato" w:hAnsi="Lato" w:cs="Arial"/>
          <w:sz w:val="22"/>
        </w:rPr>
        <w:t xml:space="preserve">Przeprowadzenie oceny skutków dla ochrony danych jest przede wszystkim </w:t>
      </w:r>
      <w:r w:rsidR="00FF4836">
        <w:rPr>
          <w:rFonts w:ascii="Lato" w:hAnsi="Lato" w:cs="Arial"/>
          <w:sz w:val="22"/>
        </w:rPr>
        <w:t>wymagane,</w:t>
      </w:r>
      <w:r>
        <w:rPr>
          <w:rFonts w:ascii="Lato" w:hAnsi="Lato" w:cs="Arial"/>
          <w:sz w:val="22"/>
        </w:rPr>
        <w:t xml:space="preserve"> gdy dany </w:t>
      </w:r>
      <w:r>
        <w:rPr>
          <w:rStyle w:val="markedcontent"/>
          <w:rFonts w:ascii="Lato" w:hAnsi="Lato" w:cs="Arial"/>
          <w:sz w:val="22"/>
        </w:rPr>
        <w:t>rodzaj przetwarzania – w szczególności z użyciem nowych technologii – ze względu na swój charakter, zakres, kontekst i cele z dużym prawdopodobieństwem może powodować wysokie ryzyko naruszenia praw lub wolności osób fizycznych. Przeprowadzenie oceny jest wymagane w przypadkach wskazanych w cz. III niniejszego szablonu oceny.</w:t>
      </w:r>
    </w:p>
    <w:p w14:paraId="214B7212" w14:textId="77777777" w:rsidR="00062017" w:rsidRDefault="00062017">
      <w:pPr>
        <w:jc w:val="both"/>
        <w:rPr>
          <w:rStyle w:val="markedcontent"/>
          <w:rFonts w:ascii="Lato" w:hAnsi="Lato" w:cstheme="minorHAnsi"/>
          <w:sz w:val="22"/>
        </w:rPr>
      </w:pPr>
    </w:p>
    <w:p w14:paraId="6663EDE9" w14:textId="77777777" w:rsidR="00062017" w:rsidRDefault="00062017">
      <w:pPr>
        <w:jc w:val="both"/>
        <w:rPr>
          <w:rStyle w:val="markedcontent"/>
          <w:rFonts w:ascii="Lato" w:hAnsi="Lato" w:cstheme="minorHAnsi"/>
          <w:sz w:val="22"/>
        </w:rPr>
      </w:pPr>
    </w:p>
    <w:tbl>
      <w:tblPr>
        <w:tblW w:w="97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5"/>
        <w:gridCol w:w="1328"/>
        <w:gridCol w:w="524"/>
        <w:gridCol w:w="734"/>
        <w:gridCol w:w="685"/>
        <w:gridCol w:w="1943"/>
        <w:gridCol w:w="632"/>
        <w:gridCol w:w="1311"/>
        <w:gridCol w:w="106"/>
        <w:gridCol w:w="284"/>
        <w:gridCol w:w="1553"/>
      </w:tblGrid>
      <w:tr w:rsidR="00062017" w:rsidRPr="00A23CD0" w14:paraId="17E06C96" w14:textId="77777777">
        <w:trPr>
          <w:trHeight w:val="936"/>
        </w:trPr>
        <w:tc>
          <w:tcPr>
            <w:tcW w:w="3201" w:type="dxa"/>
            <w:gridSpan w:val="4"/>
            <w:vAlign w:val="center"/>
          </w:tcPr>
          <w:p w14:paraId="22AAE787" w14:textId="77777777" w:rsidR="00062017" w:rsidRDefault="002916ED">
            <w:pPr>
              <w:spacing w:line="240" w:lineRule="auto"/>
              <w:jc w:val="center"/>
              <w:rPr>
                <w:rFonts w:ascii="Lato" w:eastAsia="Times New Roman" w:hAnsi="Lato" w:cs="Arial"/>
                <w:bCs/>
                <w:sz w:val="22"/>
                <w:lang w:eastAsia="pl-PL"/>
              </w:rPr>
            </w:pPr>
            <w:r>
              <w:rPr>
                <w:rFonts w:ascii="Lato" w:hAnsi="Lato" w:cs="Arial"/>
                <w:bCs/>
                <w:sz w:val="22"/>
              </w:rPr>
              <w:t>Komórka organizacyjna odpowiedzialna za przygotowanie aktu normatywnego</w:t>
            </w:r>
          </w:p>
        </w:tc>
        <w:tc>
          <w:tcPr>
            <w:tcW w:w="6514" w:type="dxa"/>
            <w:gridSpan w:val="7"/>
            <w:vAlign w:val="center"/>
          </w:tcPr>
          <w:p w14:paraId="1180DE64" w14:textId="2DC2BA79" w:rsidR="00062017" w:rsidRPr="00A23CD0" w:rsidRDefault="008556A2" w:rsidP="00A1386B">
            <w:pPr>
              <w:spacing w:line="240" w:lineRule="auto"/>
              <w:jc w:val="both"/>
              <w:rPr>
                <w:rFonts w:ascii="Lato" w:eastAsia="Times New Roman" w:hAnsi="Lato" w:cs="Arial"/>
                <w:bCs/>
                <w:sz w:val="22"/>
                <w:lang w:eastAsia="pl-PL"/>
              </w:rPr>
            </w:pPr>
            <w:r w:rsidRPr="00A23CD0">
              <w:rPr>
                <w:rFonts w:ascii="Lato" w:eastAsia="Times New Roman" w:hAnsi="Lato" w:cs="Arial"/>
                <w:bCs/>
                <w:sz w:val="22"/>
                <w:lang w:eastAsia="pl-PL"/>
              </w:rPr>
              <w:t xml:space="preserve">Departament </w:t>
            </w:r>
            <w:r w:rsidR="00595B33">
              <w:rPr>
                <w:rFonts w:ascii="Lato" w:eastAsia="Times New Roman" w:hAnsi="Lato" w:cs="Arial"/>
                <w:bCs/>
                <w:sz w:val="22"/>
                <w:lang w:eastAsia="pl-PL"/>
              </w:rPr>
              <w:t>Analiz i Strategii</w:t>
            </w:r>
          </w:p>
        </w:tc>
      </w:tr>
      <w:tr w:rsidR="00062017" w14:paraId="5C011643" w14:textId="77777777">
        <w:trPr>
          <w:trHeight w:val="1216"/>
        </w:trPr>
        <w:tc>
          <w:tcPr>
            <w:tcW w:w="3201" w:type="dxa"/>
            <w:gridSpan w:val="4"/>
            <w:vAlign w:val="center"/>
          </w:tcPr>
          <w:p w14:paraId="17B26A32" w14:textId="77777777" w:rsidR="00062017" w:rsidRDefault="002916ED">
            <w:pPr>
              <w:spacing w:line="240" w:lineRule="auto"/>
              <w:jc w:val="center"/>
              <w:rPr>
                <w:rFonts w:ascii="Lato" w:hAnsi="Lato" w:cs="Arial"/>
                <w:bCs/>
                <w:sz w:val="22"/>
              </w:rPr>
            </w:pPr>
            <w:r>
              <w:rPr>
                <w:rFonts w:ascii="Lato" w:hAnsi="Lato" w:cs="Arial"/>
                <w:bCs/>
                <w:sz w:val="22"/>
              </w:rPr>
              <w:t xml:space="preserve">Dyrektor komórki organizacyjnej przygotowującej projekt aktu normatywnego </w:t>
            </w:r>
          </w:p>
        </w:tc>
        <w:tc>
          <w:tcPr>
            <w:tcW w:w="6514" w:type="dxa"/>
            <w:gridSpan w:val="7"/>
            <w:vAlign w:val="center"/>
          </w:tcPr>
          <w:p w14:paraId="42A6A7E8" w14:textId="22787466" w:rsidR="00062017" w:rsidRPr="00776C6A" w:rsidRDefault="00595B33" w:rsidP="00A1386B">
            <w:pPr>
              <w:spacing w:line="240" w:lineRule="auto"/>
              <w:jc w:val="both"/>
              <w:rPr>
                <w:rFonts w:ascii="Lato" w:eastAsia="Times New Roman" w:hAnsi="Lato" w:cs="Arial"/>
                <w:bCs/>
                <w:sz w:val="22"/>
                <w:lang w:eastAsia="pl-PL"/>
              </w:rPr>
            </w:pPr>
            <w:r>
              <w:rPr>
                <w:rFonts w:ascii="Lato" w:eastAsia="Times New Roman" w:hAnsi="Lato" w:cs="Arial"/>
                <w:bCs/>
                <w:sz w:val="22"/>
                <w:lang w:eastAsia="pl-PL"/>
              </w:rPr>
              <w:t xml:space="preserve">Barbara Więckowska </w:t>
            </w:r>
          </w:p>
          <w:p w14:paraId="32A0C061" w14:textId="021628A0" w:rsidR="00776C6A" w:rsidRDefault="00776C6A" w:rsidP="00A1386B">
            <w:pPr>
              <w:spacing w:line="240" w:lineRule="auto"/>
              <w:jc w:val="both"/>
              <w:rPr>
                <w:rFonts w:ascii="Lato" w:eastAsia="Times New Roman" w:hAnsi="Lato" w:cs="Arial"/>
                <w:bCs/>
                <w:i/>
                <w:iCs/>
                <w:sz w:val="22"/>
                <w:lang w:eastAsia="pl-PL"/>
              </w:rPr>
            </w:pPr>
            <w:r w:rsidRPr="00776C6A">
              <w:rPr>
                <w:rFonts w:ascii="Lato" w:eastAsia="Times New Roman" w:hAnsi="Lato" w:cs="Arial"/>
                <w:bCs/>
                <w:sz w:val="22"/>
                <w:lang w:eastAsia="pl-PL"/>
              </w:rPr>
              <w:t xml:space="preserve">Dyrektor </w:t>
            </w:r>
            <w:r w:rsidR="00BB0D4C">
              <w:rPr>
                <w:rFonts w:ascii="Lato" w:eastAsia="Times New Roman" w:hAnsi="Lato" w:cs="Arial"/>
                <w:bCs/>
                <w:sz w:val="22"/>
                <w:lang w:eastAsia="pl-PL"/>
              </w:rPr>
              <w:t>Departamentu Analiz i Strategii</w:t>
            </w:r>
            <w:r>
              <w:rPr>
                <w:rFonts w:ascii="Lato" w:eastAsia="Times New Roman" w:hAnsi="Lato" w:cs="Arial"/>
                <w:bCs/>
                <w:i/>
                <w:iCs/>
                <w:sz w:val="22"/>
                <w:lang w:eastAsia="pl-PL"/>
              </w:rPr>
              <w:t xml:space="preserve"> </w:t>
            </w:r>
          </w:p>
        </w:tc>
      </w:tr>
      <w:tr w:rsidR="00062017" w14:paraId="50822046" w14:textId="77777777">
        <w:trPr>
          <w:trHeight w:val="650"/>
        </w:trPr>
        <w:tc>
          <w:tcPr>
            <w:tcW w:w="9715" w:type="dxa"/>
            <w:gridSpan w:val="11"/>
            <w:vAlign w:val="center"/>
          </w:tcPr>
          <w:p w14:paraId="30BFFE0E" w14:textId="77777777" w:rsidR="00062017" w:rsidRDefault="002916ED">
            <w:pPr>
              <w:pStyle w:val="Akapitzlist"/>
              <w:numPr>
                <w:ilvl w:val="0"/>
                <w:numId w:val="4"/>
              </w:numPr>
              <w:spacing w:after="0"/>
              <w:ind w:left="863" w:hanging="567"/>
              <w:rPr>
                <w:rFonts w:ascii="Lato" w:eastAsia="Times New Roman" w:hAnsi="Lato" w:cs="Arial"/>
                <w:b/>
                <w:lang w:eastAsia="pl-PL"/>
              </w:rPr>
            </w:pPr>
            <w:r>
              <w:rPr>
                <w:rFonts w:ascii="Lato" w:eastAsia="Times New Roman" w:hAnsi="Lato" w:cs="Arial"/>
                <w:b/>
                <w:lang w:eastAsia="pl-PL"/>
              </w:rPr>
              <w:t>WSTĘPNE INFORMACJE O PROJEKCIE AKTU NORMATYWNEGO</w:t>
            </w:r>
          </w:p>
        </w:tc>
      </w:tr>
      <w:tr w:rsidR="00062017" w14:paraId="06F75ACA" w14:textId="77777777">
        <w:trPr>
          <w:trHeight w:val="645"/>
        </w:trPr>
        <w:tc>
          <w:tcPr>
            <w:tcW w:w="615" w:type="dxa"/>
            <w:vAlign w:val="center"/>
          </w:tcPr>
          <w:p w14:paraId="2B1CF852"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lastRenderedPageBreak/>
              <w:t>1</w:t>
            </w:r>
          </w:p>
        </w:tc>
        <w:tc>
          <w:tcPr>
            <w:tcW w:w="2586" w:type="dxa"/>
            <w:gridSpan w:val="3"/>
            <w:vAlign w:val="center"/>
          </w:tcPr>
          <w:p w14:paraId="116F21EE"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Tytuł projektu aktu normatywnego</w:t>
            </w:r>
          </w:p>
        </w:tc>
        <w:tc>
          <w:tcPr>
            <w:tcW w:w="6514" w:type="dxa"/>
            <w:gridSpan w:val="7"/>
            <w:vAlign w:val="center"/>
          </w:tcPr>
          <w:p w14:paraId="6F756D84" w14:textId="218A9FBE" w:rsidR="00062017" w:rsidRDefault="00CB34FA"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Rozporządzenie Ministra Zdrowia w sprawie rejestru endoprotezoplastyk</w:t>
            </w:r>
          </w:p>
        </w:tc>
      </w:tr>
      <w:tr w:rsidR="00062017" w14:paraId="2492D666" w14:textId="77777777">
        <w:trPr>
          <w:trHeight w:val="667"/>
        </w:trPr>
        <w:tc>
          <w:tcPr>
            <w:tcW w:w="615" w:type="dxa"/>
            <w:vAlign w:val="center"/>
          </w:tcPr>
          <w:p w14:paraId="5A62B858"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2</w:t>
            </w:r>
          </w:p>
        </w:tc>
        <w:tc>
          <w:tcPr>
            <w:tcW w:w="2586" w:type="dxa"/>
            <w:gridSpan w:val="3"/>
            <w:vAlign w:val="center"/>
          </w:tcPr>
          <w:p w14:paraId="1846F451"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Przedmiot projektu aktu normatywnego </w:t>
            </w:r>
          </w:p>
        </w:tc>
        <w:tc>
          <w:tcPr>
            <w:tcW w:w="6514" w:type="dxa"/>
            <w:gridSpan w:val="7"/>
            <w:vAlign w:val="center"/>
          </w:tcPr>
          <w:p w14:paraId="751793ED" w14:textId="3A069892" w:rsidR="00062017" w:rsidRDefault="00CB34FA"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Rejestr endoprotezoplastyk</w:t>
            </w:r>
          </w:p>
        </w:tc>
      </w:tr>
      <w:tr w:rsidR="00062017" w14:paraId="27C7AB9D" w14:textId="77777777">
        <w:trPr>
          <w:trHeight w:val="1125"/>
        </w:trPr>
        <w:tc>
          <w:tcPr>
            <w:tcW w:w="615" w:type="dxa"/>
            <w:vAlign w:val="center"/>
          </w:tcPr>
          <w:p w14:paraId="3037BEBA"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3</w:t>
            </w:r>
          </w:p>
        </w:tc>
        <w:tc>
          <w:tcPr>
            <w:tcW w:w="2586" w:type="dxa"/>
            <w:gridSpan w:val="3"/>
            <w:vAlign w:val="center"/>
          </w:tcPr>
          <w:p w14:paraId="659CBDD5"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W przypadku rozporządzeń: podstawa prawna wydania rozporządzenia </w:t>
            </w:r>
          </w:p>
        </w:tc>
        <w:tc>
          <w:tcPr>
            <w:tcW w:w="6514" w:type="dxa"/>
            <w:gridSpan w:val="7"/>
            <w:vAlign w:val="center"/>
          </w:tcPr>
          <w:p w14:paraId="71BDDA74" w14:textId="05BAE93C" w:rsidR="00CB34FA" w:rsidRPr="00CB34FA" w:rsidRDefault="00CB34FA" w:rsidP="00A1386B">
            <w:pPr>
              <w:spacing w:line="240" w:lineRule="auto"/>
              <w:jc w:val="both"/>
              <w:rPr>
                <w:rFonts w:ascii="Lato" w:eastAsia="Times New Roman" w:hAnsi="Lato" w:cs="Arial"/>
                <w:sz w:val="22"/>
                <w:lang w:eastAsia="pl-PL"/>
              </w:rPr>
            </w:pPr>
            <w:r w:rsidRPr="00CB34FA">
              <w:rPr>
                <w:rFonts w:ascii="Lato" w:eastAsia="Times New Roman" w:hAnsi="Lato" w:cs="Arial"/>
                <w:sz w:val="22"/>
                <w:lang w:eastAsia="pl-PL"/>
              </w:rPr>
              <w:t xml:space="preserve">art. 20 ust. 1 ustawy z dnia 28 kwietnia </w:t>
            </w:r>
            <w:r w:rsidRPr="00CB34FA">
              <w:rPr>
                <w:rFonts w:ascii="Lato" w:eastAsia="Times New Roman" w:hAnsi="Lato" w:cs="Arial"/>
                <w:sz w:val="22"/>
                <w:lang w:eastAsia="pl-PL"/>
              </w:rPr>
              <w:br/>
              <w:t>2011 r. o systemie informacji w ochronie zdrowia (Dz. U. z 2025 r. poz. 302</w:t>
            </w:r>
            <w:r w:rsidR="00885F30">
              <w:rPr>
                <w:rFonts w:ascii="Lato" w:eastAsia="Times New Roman" w:hAnsi="Lato" w:cs="Arial"/>
                <w:sz w:val="22"/>
                <w:lang w:eastAsia="pl-PL"/>
              </w:rPr>
              <w:t xml:space="preserve"> i 779</w:t>
            </w:r>
            <w:r w:rsidRPr="00CB34FA">
              <w:rPr>
                <w:rFonts w:ascii="Lato" w:eastAsia="Times New Roman" w:hAnsi="Lato" w:cs="Arial"/>
                <w:sz w:val="22"/>
                <w:lang w:eastAsia="pl-PL"/>
              </w:rPr>
              <w:t>)</w:t>
            </w:r>
          </w:p>
          <w:p w14:paraId="492B9388" w14:textId="39FA53BA" w:rsidR="00062017" w:rsidRDefault="00062017" w:rsidP="00A1386B">
            <w:pPr>
              <w:spacing w:line="240" w:lineRule="auto"/>
              <w:jc w:val="both"/>
              <w:rPr>
                <w:rFonts w:ascii="Lato" w:eastAsia="Times New Roman" w:hAnsi="Lato" w:cs="Arial"/>
                <w:sz w:val="22"/>
                <w:lang w:eastAsia="pl-PL"/>
              </w:rPr>
            </w:pPr>
          </w:p>
        </w:tc>
      </w:tr>
      <w:tr w:rsidR="00062017" w14:paraId="78804641" w14:textId="77777777">
        <w:trPr>
          <w:trHeight w:val="1411"/>
        </w:trPr>
        <w:tc>
          <w:tcPr>
            <w:tcW w:w="615" w:type="dxa"/>
            <w:vAlign w:val="center"/>
          </w:tcPr>
          <w:p w14:paraId="320F6C65"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4</w:t>
            </w:r>
          </w:p>
        </w:tc>
        <w:tc>
          <w:tcPr>
            <w:tcW w:w="2586" w:type="dxa"/>
            <w:gridSpan w:val="3"/>
            <w:vAlign w:val="center"/>
          </w:tcPr>
          <w:p w14:paraId="14BE27AD" w14:textId="1EB91CC8" w:rsidR="00062017" w:rsidRPr="002B1756" w:rsidRDefault="002916ED">
            <w:pPr>
              <w:spacing w:line="240" w:lineRule="auto"/>
              <w:rPr>
                <w:rFonts w:ascii="Lato" w:eastAsia="Times New Roman" w:hAnsi="Lato" w:cs="Arial"/>
                <w:sz w:val="22"/>
                <w:lang w:eastAsia="pl-PL"/>
              </w:rPr>
            </w:pPr>
            <w:r w:rsidRPr="002B1756">
              <w:rPr>
                <w:rFonts w:ascii="Lato" w:eastAsia="Times New Roman" w:hAnsi="Lato" w:cs="Arial"/>
                <w:sz w:val="22"/>
                <w:lang w:eastAsia="pl-PL"/>
              </w:rPr>
              <w:t xml:space="preserve">Czy po wejściu w </w:t>
            </w:r>
            <w:r w:rsidR="00FF4836" w:rsidRPr="002B1756">
              <w:rPr>
                <w:rFonts w:ascii="Lato" w:eastAsia="Times New Roman" w:hAnsi="Lato" w:cs="Arial"/>
                <w:sz w:val="22"/>
                <w:lang w:eastAsia="pl-PL"/>
              </w:rPr>
              <w:t>życie aktu</w:t>
            </w:r>
            <w:r w:rsidRPr="002B1756">
              <w:rPr>
                <w:rFonts w:ascii="Lato" w:eastAsia="Times New Roman" w:hAnsi="Lato" w:cs="Arial"/>
                <w:sz w:val="22"/>
                <w:lang w:eastAsia="pl-PL"/>
              </w:rPr>
              <w:t xml:space="preserve"> normatywnego jego przepisy będą stanowiły podstawę przetwarzania danych osobowych? Jeżeli tak, to należy wskazać projektowany przepis lub przepisy, które będą stanowiły podstawę przetwarzania.</w:t>
            </w:r>
          </w:p>
        </w:tc>
        <w:tc>
          <w:tcPr>
            <w:tcW w:w="6514" w:type="dxa"/>
            <w:gridSpan w:val="7"/>
            <w:vAlign w:val="center"/>
          </w:tcPr>
          <w:p w14:paraId="5E04C82D" w14:textId="26B4DC34" w:rsidR="00062017" w:rsidRPr="002B1756" w:rsidRDefault="00394A63" w:rsidP="00A1386B">
            <w:pPr>
              <w:pStyle w:val="Nagwek2"/>
              <w:jc w:val="both"/>
              <w:rPr>
                <w:rFonts w:ascii="Lato" w:eastAsia="Times New Roman" w:hAnsi="Lato" w:cs="Arial"/>
                <w:color w:val="auto"/>
                <w:sz w:val="22"/>
                <w:szCs w:val="22"/>
                <w:lang w:eastAsia="pl-PL"/>
              </w:rPr>
            </w:pPr>
            <w:r w:rsidRPr="002B1756">
              <w:rPr>
                <w:rFonts w:ascii="Lato" w:eastAsia="Times New Roman" w:hAnsi="Lato" w:cs="Arial"/>
                <w:color w:val="auto"/>
                <w:sz w:val="22"/>
                <w:szCs w:val="22"/>
                <w:lang w:eastAsia="pl-PL"/>
              </w:rPr>
              <w:t xml:space="preserve">§ </w:t>
            </w:r>
            <w:r w:rsidR="002B1756">
              <w:rPr>
                <w:rFonts w:ascii="Lato" w:eastAsia="Times New Roman" w:hAnsi="Lato" w:cs="Arial"/>
                <w:color w:val="auto"/>
                <w:sz w:val="22"/>
                <w:szCs w:val="22"/>
                <w:lang w:eastAsia="pl-PL"/>
              </w:rPr>
              <w:t>7</w:t>
            </w:r>
            <w:r w:rsidR="00485F9A" w:rsidRPr="002B1756">
              <w:rPr>
                <w:rFonts w:ascii="Lato" w:eastAsia="Times New Roman" w:hAnsi="Lato" w:cs="Arial"/>
                <w:color w:val="auto"/>
                <w:sz w:val="22"/>
                <w:szCs w:val="22"/>
                <w:lang w:eastAsia="pl-PL"/>
              </w:rPr>
              <w:t xml:space="preserve"> </w:t>
            </w:r>
            <w:r w:rsidRPr="002B1756">
              <w:rPr>
                <w:rFonts w:ascii="Lato" w:eastAsia="Times New Roman" w:hAnsi="Lato" w:cs="Arial"/>
                <w:color w:val="auto"/>
                <w:sz w:val="22"/>
                <w:szCs w:val="22"/>
                <w:lang w:eastAsia="pl-PL"/>
              </w:rPr>
              <w:t>projektowanego rozporządzenia w sprawie rejestru endoprotezoplastyk</w:t>
            </w:r>
          </w:p>
        </w:tc>
      </w:tr>
      <w:tr w:rsidR="00411025" w14:paraId="40097489" w14:textId="77777777">
        <w:trPr>
          <w:trHeight w:val="2493"/>
        </w:trPr>
        <w:tc>
          <w:tcPr>
            <w:tcW w:w="615" w:type="dxa"/>
            <w:vAlign w:val="center"/>
          </w:tcPr>
          <w:p w14:paraId="6C1418A2"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5</w:t>
            </w:r>
          </w:p>
        </w:tc>
        <w:tc>
          <w:tcPr>
            <w:tcW w:w="2586" w:type="dxa"/>
            <w:gridSpan w:val="3"/>
            <w:vAlign w:val="center"/>
          </w:tcPr>
          <w:p w14:paraId="5A01E3C7"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po wejściu w życie aktu normatywnego jego przepisy będą stanowiły podstawę wykonywania zadań przez organy publiczne lub inne podmioty i czy będą precyzować operacje przetwarzania danych osobowych podejmowane przez te podmioty? </w:t>
            </w:r>
          </w:p>
        </w:tc>
        <w:tc>
          <w:tcPr>
            <w:tcW w:w="6514" w:type="dxa"/>
            <w:gridSpan w:val="7"/>
            <w:vAlign w:val="center"/>
          </w:tcPr>
          <w:p w14:paraId="084EEE30" w14:textId="6AFF9A73" w:rsidR="00411025" w:rsidRDefault="00411025" w:rsidP="00411025">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Tak. Zgodnie z § 2 projektu rozporządzenia, zadanie prowadzenia rejestru </w:t>
            </w:r>
            <w:r w:rsidR="002B1756" w:rsidRPr="002B1756">
              <w:rPr>
                <w:rFonts w:ascii="Lato" w:eastAsia="Times New Roman" w:hAnsi="Lato" w:cs="Arial"/>
                <w:sz w:val="22"/>
                <w:lang w:eastAsia="pl-PL"/>
              </w:rPr>
              <w:t>(</w:t>
            </w:r>
            <w:r w:rsidR="002B1756" w:rsidRPr="002B1756">
              <w:rPr>
                <w:rFonts w:ascii="Lato" w:eastAsia="Times New Roman" w:hAnsi="Lato" w:cs="Arial"/>
                <w:sz w:val="22"/>
                <w:lang w:eastAsia="pl-PL"/>
              </w:rPr>
              <w:t>w zakresie gromadzenia i walidacji danych oraz technicznego utrzymania rejestru</w:t>
            </w:r>
            <w:r w:rsidR="002B1756" w:rsidRPr="002B1756">
              <w:rPr>
                <w:rFonts w:ascii="Lato" w:eastAsia="Times New Roman" w:hAnsi="Lato" w:cs="Arial"/>
                <w:sz w:val="22"/>
                <w:lang w:eastAsia="pl-PL"/>
              </w:rPr>
              <w:t xml:space="preserve">) </w:t>
            </w:r>
            <w:r w:rsidRPr="002B1756">
              <w:rPr>
                <w:rFonts w:ascii="Lato" w:eastAsia="Times New Roman" w:hAnsi="Lato" w:cs="Arial"/>
                <w:sz w:val="22"/>
                <w:lang w:eastAsia="pl-PL"/>
              </w:rPr>
              <w:t xml:space="preserve">nałożone zostało na Narodowy Fundusz Zdrowia. Zadaniem usługodawców jest przekazywanie do NFZ danych za pośrednictwem systemu teleinformatycznego, przez wypełnienie ankiety. Podmioty będą przetwarzać dane osobowe określone w § </w:t>
            </w:r>
            <w:r w:rsidR="002B1756" w:rsidRPr="002B1756">
              <w:rPr>
                <w:rFonts w:ascii="Lato" w:eastAsia="Times New Roman" w:hAnsi="Lato" w:cs="Arial"/>
                <w:sz w:val="22"/>
                <w:lang w:eastAsia="pl-PL"/>
              </w:rPr>
              <w:t>7</w:t>
            </w:r>
            <w:r w:rsidRPr="002B1756">
              <w:rPr>
                <w:rFonts w:ascii="Lato" w:eastAsia="Times New Roman" w:hAnsi="Lato" w:cs="Arial"/>
                <w:sz w:val="22"/>
                <w:lang w:eastAsia="pl-PL"/>
              </w:rPr>
              <w:t xml:space="preserve"> projektowanego rozporządzenia.</w:t>
            </w:r>
            <w:r>
              <w:rPr>
                <w:rFonts w:ascii="Lato" w:eastAsia="Times New Roman" w:hAnsi="Lato" w:cs="Arial"/>
                <w:sz w:val="22"/>
                <w:lang w:eastAsia="pl-PL"/>
              </w:rPr>
              <w:t xml:space="preserve"> </w:t>
            </w:r>
          </w:p>
          <w:p w14:paraId="57145CDC" w14:textId="77777777" w:rsidR="00411025" w:rsidRDefault="00411025" w:rsidP="00411025">
            <w:pPr>
              <w:spacing w:line="240" w:lineRule="auto"/>
              <w:jc w:val="both"/>
              <w:rPr>
                <w:rFonts w:ascii="Lato" w:eastAsia="Times New Roman" w:hAnsi="Lato" w:cs="Arial"/>
                <w:sz w:val="22"/>
                <w:lang w:eastAsia="pl-PL"/>
              </w:rPr>
            </w:pPr>
          </w:p>
          <w:p w14:paraId="433B5151" w14:textId="77777777" w:rsidR="00411025" w:rsidRDefault="00411025" w:rsidP="00411025">
            <w:pPr>
              <w:spacing w:line="240" w:lineRule="auto"/>
              <w:jc w:val="both"/>
              <w:rPr>
                <w:rFonts w:ascii="Lato" w:eastAsia="Times New Roman" w:hAnsi="Lato" w:cs="Arial"/>
                <w:sz w:val="22"/>
                <w:lang w:eastAsia="pl-PL"/>
              </w:rPr>
            </w:pPr>
          </w:p>
          <w:p w14:paraId="158C3CE9" w14:textId="55AB71C2" w:rsidR="00411025" w:rsidRDefault="00411025" w:rsidP="00411025">
            <w:pPr>
              <w:spacing w:line="240" w:lineRule="auto"/>
              <w:jc w:val="center"/>
              <w:rPr>
                <w:rFonts w:ascii="Lato" w:eastAsia="Times New Roman" w:hAnsi="Lato" w:cs="Arial"/>
                <w:sz w:val="22"/>
                <w:lang w:eastAsia="pl-PL"/>
              </w:rPr>
            </w:pPr>
            <w:r>
              <w:rPr>
                <w:rFonts w:ascii="Lato" w:eastAsia="Times New Roman" w:hAnsi="Lato" w:cs="Arial"/>
                <w:sz w:val="22"/>
                <w:lang w:eastAsia="pl-PL"/>
              </w:rPr>
              <w:t xml:space="preserve"> </w:t>
            </w:r>
          </w:p>
        </w:tc>
      </w:tr>
      <w:tr w:rsidR="00411025" w14:paraId="066B5B4D" w14:textId="77777777">
        <w:trPr>
          <w:trHeight w:val="3081"/>
        </w:trPr>
        <w:tc>
          <w:tcPr>
            <w:tcW w:w="615" w:type="dxa"/>
            <w:vAlign w:val="center"/>
          </w:tcPr>
          <w:p w14:paraId="45C886F5"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6</w:t>
            </w:r>
          </w:p>
        </w:tc>
        <w:tc>
          <w:tcPr>
            <w:tcW w:w="2586" w:type="dxa"/>
            <w:gridSpan w:val="3"/>
            <w:vAlign w:val="center"/>
          </w:tcPr>
          <w:p w14:paraId="38EE4104"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po wejściu w życie aktu normatywnego jego przepisy będą stanowiły podstawę do udostępniania danych osobowych pomiędzy podmiotami (w szczególności organami publicznymi), w tym z wykorzystaniem systemów teleinformatycznych?</w:t>
            </w:r>
          </w:p>
        </w:tc>
        <w:tc>
          <w:tcPr>
            <w:tcW w:w="6514" w:type="dxa"/>
            <w:gridSpan w:val="7"/>
            <w:vAlign w:val="center"/>
          </w:tcPr>
          <w:p w14:paraId="06CCF5C5" w14:textId="0DB0FAC3" w:rsidR="00042A6D" w:rsidRPr="002B1756" w:rsidRDefault="00042A6D"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Tak. Zgodnie z § 1 pkt </w:t>
            </w:r>
            <w:r w:rsidR="00AF7EA7" w:rsidRPr="002B1756">
              <w:rPr>
                <w:rFonts w:ascii="Lato" w:eastAsia="Times New Roman" w:hAnsi="Lato" w:cs="Arial"/>
                <w:sz w:val="22"/>
                <w:lang w:eastAsia="pl-PL"/>
              </w:rPr>
              <w:t>4</w:t>
            </w:r>
            <w:r w:rsidRPr="002B1756">
              <w:rPr>
                <w:rFonts w:ascii="Lato" w:eastAsia="Times New Roman" w:hAnsi="Lato" w:cs="Arial"/>
                <w:sz w:val="22"/>
                <w:lang w:eastAsia="pl-PL"/>
              </w:rPr>
              <w:t xml:space="preserve"> projektowanego rozporządzenia, określa ono usługodawców obowiązanych do przekazywania danych do rejestru. Ponadto w § </w:t>
            </w:r>
            <w:r w:rsidR="002B1756" w:rsidRPr="002B1756">
              <w:rPr>
                <w:rFonts w:ascii="Lato" w:eastAsia="Times New Roman" w:hAnsi="Lato" w:cs="Arial"/>
                <w:sz w:val="22"/>
                <w:lang w:eastAsia="pl-PL"/>
              </w:rPr>
              <w:t>6</w:t>
            </w:r>
            <w:r w:rsidRPr="002B1756">
              <w:rPr>
                <w:rFonts w:ascii="Lato" w:eastAsia="Times New Roman" w:hAnsi="Lato" w:cs="Arial"/>
                <w:sz w:val="22"/>
                <w:lang w:eastAsia="pl-PL"/>
              </w:rPr>
              <w:t xml:space="preserve"> projektu wskazano którzy usługodawcy są obowiązane do przekazywania danych o usługobiorcach do rejestru, którego podmiotem prowadzącym jest Narodowy Fundusz Zdrowia.  Dodatkowo należy wskazać, że </w:t>
            </w:r>
            <w:r w:rsidRPr="002B1756">
              <w:rPr>
                <w:rFonts w:ascii="Lato" w:eastAsia="Times New Roman" w:hAnsi="Lato" w:cs="Arial"/>
                <w:bCs/>
                <w:sz w:val="22"/>
                <w:lang w:eastAsia="pl-PL"/>
              </w:rPr>
              <w:t xml:space="preserve">§ </w:t>
            </w:r>
            <w:r w:rsidR="00930393" w:rsidRPr="002B1756">
              <w:rPr>
                <w:rFonts w:ascii="Lato" w:eastAsia="Times New Roman" w:hAnsi="Lato" w:cs="Arial"/>
                <w:bCs/>
                <w:sz w:val="22"/>
                <w:lang w:eastAsia="pl-PL"/>
              </w:rPr>
              <w:t>7</w:t>
            </w:r>
            <w:r w:rsidRPr="002B1756">
              <w:rPr>
                <w:rFonts w:ascii="Lato" w:eastAsia="Times New Roman" w:hAnsi="Lato" w:cs="Arial"/>
                <w:bCs/>
                <w:sz w:val="22"/>
                <w:lang w:eastAsia="pl-PL"/>
              </w:rPr>
              <w:t xml:space="preserve"> projektu</w:t>
            </w:r>
            <w:r w:rsidRPr="002B1756">
              <w:rPr>
                <w:rFonts w:ascii="Lato" w:eastAsia="Times New Roman" w:hAnsi="Lato" w:cs="Arial"/>
                <w:b/>
                <w:sz w:val="22"/>
                <w:lang w:eastAsia="pl-PL"/>
              </w:rPr>
              <w:t xml:space="preserve"> </w:t>
            </w:r>
            <w:r w:rsidRPr="002B1756">
              <w:rPr>
                <w:rFonts w:ascii="Lato" w:eastAsia="Times New Roman" w:hAnsi="Lato" w:cs="Arial"/>
                <w:bCs/>
                <w:sz w:val="22"/>
                <w:lang w:eastAsia="pl-PL"/>
              </w:rPr>
              <w:t>zakłada, że</w:t>
            </w:r>
            <w:r w:rsidRPr="002B1756">
              <w:rPr>
                <w:rFonts w:ascii="Lato" w:eastAsia="Times New Roman" w:hAnsi="Lato" w:cs="Arial"/>
                <w:b/>
                <w:sz w:val="22"/>
                <w:lang w:eastAsia="pl-PL"/>
              </w:rPr>
              <w:t xml:space="preserve"> </w:t>
            </w:r>
            <w:r w:rsidRPr="002B1756">
              <w:rPr>
                <w:rFonts w:ascii="Lato" w:eastAsia="Times New Roman" w:hAnsi="Lato" w:cs="Arial"/>
                <w:sz w:val="22"/>
                <w:lang w:eastAsia="pl-PL"/>
              </w:rPr>
              <w:t xml:space="preserve">dane i identyfikatory, o których mowa w § </w:t>
            </w:r>
            <w:r w:rsidR="00F63CD1" w:rsidRPr="002B1756">
              <w:rPr>
                <w:rFonts w:ascii="Lato" w:eastAsia="Times New Roman" w:hAnsi="Lato" w:cs="Arial"/>
                <w:sz w:val="22"/>
                <w:lang w:eastAsia="pl-PL"/>
              </w:rPr>
              <w:t>6</w:t>
            </w:r>
            <w:r w:rsidRPr="002B1756">
              <w:rPr>
                <w:rFonts w:ascii="Lato" w:eastAsia="Times New Roman" w:hAnsi="Lato" w:cs="Arial"/>
                <w:sz w:val="22"/>
                <w:lang w:eastAsia="pl-PL"/>
              </w:rPr>
              <w:t>, są przekazywane do rejestru przez usługodawcę za pośrednictwem systemu teleinformatycznego, o którym mowa w § 3, w terminie do 10. dnia miesiąca następującego po miesiącu, w którym zakończono hospitalizację usługobiorcy.</w:t>
            </w:r>
          </w:p>
          <w:p w14:paraId="27411264" w14:textId="7FFD38B1" w:rsidR="00411025" w:rsidRDefault="00042A6D"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Jednocześnie należy wskazać, iż możliwe jest wykonywanie zadań o których mowa w art. 19 ustawy z dnia 28 kwietnia 2011 r. o systemie informacji w ochronie zdrowia.</w:t>
            </w:r>
          </w:p>
        </w:tc>
      </w:tr>
      <w:tr w:rsidR="00411025" w14:paraId="05B86FD3" w14:textId="77777777">
        <w:trPr>
          <w:trHeight w:val="1563"/>
        </w:trPr>
        <w:tc>
          <w:tcPr>
            <w:tcW w:w="615" w:type="dxa"/>
            <w:vAlign w:val="center"/>
          </w:tcPr>
          <w:p w14:paraId="5F9A4BB3"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7</w:t>
            </w:r>
          </w:p>
        </w:tc>
        <w:tc>
          <w:tcPr>
            <w:tcW w:w="2586" w:type="dxa"/>
            <w:gridSpan w:val="3"/>
            <w:vAlign w:val="center"/>
          </w:tcPr>
          <w:p w14:paraId="3D56EABE"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w procesach przetwarzania, które będą realizowane po wejściu w życie aktu normatywnego, </w:t>
            </w:r>
            <w:r>
              <w:rPr>
                <w:rFonts w:ascii="Lato" w:eastAsia="Times New Roman" w:hAnsi="Lato" w:cs="Arial"/>
                <w:sz w:val="22"/>
                <w:lang w:eastAsia="pl-PL"/>
              </w:rPr>
              <w:lastRenderedPageBreak/>
              <w:t>wykorzystywane będą nowe technologie</w:t>
            </w:r>
            <w:r>
              <w:rPr>
                <w:rStyle w:val="Odwoanieprzypisudolnego"/>
                <w:rFonts w:ascii="Lato" w:eastAsia="Times New Roman" w:hAnsi="Lato" w:cs="Arial"/>
                <w:sz w:val="22"/>
                <w:lang w:eastAsia="pl-PL"/>
              </w:rPr>
              <w:footnoteReference w:id="2"/>
            </w:r>
            <w:r>
              <w:rPr>
                <w:rFonts w:ascii="Lato" w:eastAsia="Times New Roman" w:hAnsi="Lato" w:cs="Arial"/>
                <w:sz w:val="22"/>
                <w:lang w:eastAsia="pl-PL"/>
              </w:rPr>
              <w:t>?</w:t>
            </w:r>
          </w:p>
        </w:tc>
        <w:tc>
          <w:tcPr>
            <w:tcW w:w="6514" w:type="dxa"/>
            <w:gridSpan w:val="7"/>
            <w:vAlign w:val="center"/>
          </w:tcPr>
          <w:p w14:paraId="4A785743" w14:textId="2E984C99" w:rsidR="00411025" w:rsidRDefault="00411025" w:rsidP="00A1386B">
            <w:pPr>
              <w:spacing w:line="240" w:lineRule="auto"/>
              <w:rPr>
                <w:rFonts w:ascii="Lato" w:eastAsia="Times New Roman" w:hAnsi="Lato" w:cs="Arial"/>
                <w:sz w:val="22"/>
                <w:lang w:eastAsia="pl-PL"/>
              </w:rPr>
            </w:pPr>
            <w:r>
              <w:rPr>
                <w:rFonts w:ascii="Lato" w:eastAsia="Times New Roman" w:hAnsi="Lato" w:cs="Arial"/>
                <w:sz w:val="22"/>
                <w:lang w:eastAsia="pl-PL"/>
              </w:rPr>
              <w:lastRenderedPageBreak/>
              <w:t>nie</w:t>
            </w:r>
          </w:p>
        </w:tc>
      </w:tr>
      <w:tr w:rsidR="00411025" w14:paraId="05132E9D" w14:textId="77777777">
        <w:trPr>
          <w:trHeight w:val="554"/>
        </w:trPr>
        <w:tc>
          <w:tcPr>
            <w:tcW w:w="615" w:type="dxa"/>
            <w:vAlign w:val="center"/>
          </w:tcPr>
          <w:p w14:paraId="0FA693E6"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8</w:t>
            </w:r>
          </w:p>
        </w:tc>
        <w:tc>
          <w:tcPr>
            <w:tcW w:w="2586" w:type="dxa"/>
            <w:gridSpan w:val="3"/>
            <w:vAlign w:val="center"/>
          </w:tcPr>
          <w:p w14:paraId="04849269"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po wejściu w życie projektowany akt normatywny będzie miał wpływ na osoby fizyczne, a jeżeli tak to jaki?</w:t>
            </w:r>
          </w:p>
        </w:tc>
        <w:tc>
          <w:tcPr>
            <w:tcW w:w="6514" w:type="dxa"/>
            <w:gridSpan w:val="7"/>
            <w:vAlign w:val="center"/>
          </w:tcPr>
          <w:p w14:paraId="6CF16DEE" w14:textId="52CE34BA" w:rsidR="00411025" w:rsidRDefault="00411025" w:rsidP="00A1386B">
            <w:pPr>
              <w:spacing w:line="240" w:lineRule="auto"/>
              <w:jc w:val="both"/>
              <w:rPr>
                <w:rFonts w:ascii="Lato" w:eastAsia="Times New Roman" w:hAnsi="Lato" w:cs="Arial"/>
                <w:sz w:val="22"/>
                <w:lang w:eastAsia="pl-PL"/>
              </w:rPr>
            </w:pPr>
            <w:r w:rsidRPr="00CA54A4">
              <w:rPr>
                <w:rFonts w:ascii="Lato" w:eastAsia="Times New Roman" w:hAnsi="Lato" w:cs="Arial"/>
                <w:sz w:val="22"/>
                <w:lang w:eastAsia="pl-PL"/>
              </w:rPr>
              <w:t xml:space="preserve">Przedmiotowy projekt </w:t>
            </w:r>
            <w:r>
              <w:rPr>
                <w:rFonts w:ascii="Lato" w:eastAsia="Times New Roman" w:hAnsi="Lato" w:cs="Arial"/>
                <w:sz w:val="22"/>
                <w:lang w:eastAsia="pl-PL"/>
              </w:rPr>
              <w:t xml:space="preserve">będzie miał </w:t>
            </w:r>
            <w:r w:rsidRPr="00CA54A4">
              <w:rPr>
                <w:rFonts w:ascii="Lato" w:eastAsia="Times New Roman" w:hAnsi="Lato" w:cs="Arial"/>
                <w:sz w:val="22"/>
                <w:lang w:eastAsia="pl-PL"/>
              </w:rPr>
              <w:t>wpływ na</w:t>
            </w:r>
            <w:r>
              <w:rPr>
                <w:rFonts w:ascii="Lato" w:eastAsia="Times New Roman" w:hAnsi="Lato" w:cs="Arial"/>
                <w:sz w:val="22"/>
                <w:lang w:eastAsia="pl-PL"/>
              </w:rPr>
              <w:t xml:space="preserve"> osoby fizyczne</w:t>
            </w:r>
            <w:r w:rsidRPr="00CA54A4">
              <w:rPr>
                <w:rFonts w:ascii="Lato" w:eastAsia="Times New Roman" w:hAnsi="Lato" w:cs="Arial"/>
                <w:sz w:val="22"/>
                <w:lang w:eastAsia="pl-PL"/>
              </w:rPr>
              <w:t xml:space="preserve"> przez dostarczenie danych o jakości i efektywności wykonywanych procedur. Informac</w:t>
            </w:r>
            <w:r>
              <w:rPr>
                <w:rFonts w:ascii="Lato" w:eastAsia="Times New Roman" w:hAnsi="Lato" w:cs="Arial"/>
                <w:sz w:val="22"/>
                <w:lang w:eastAsia="pl-PL"/>
              </w:rPr>
              <w:t>je</w:t>
            </w:r>
            <w:r w:rsidRPr="00CA54A4">
              <w:rPr>
                <w:rFonts w:ascii="Lato" w:eastAsia="Times New Roman" w:hAnsi="Lato" w:cs="Arial"/>
                <w:sz w:val="22"/>
                <w:lang w:eastAsia="pl-PL"/>
              </w:rPr>
              <w:t xml:space="preserve"> t</w:t>
            </w:r>
            <w:r>
              <w:rPr>
                <w:rFonts w:ascii="Lato" w:eastAsia="Times New Roman" w:hAnsi="Lato" w:cs="Arial"/>
                <w:sz w:val="22"/>
                <w:lang w:eastAsia="pl-PL"/>
              </w:rPr>
              <w:t>e</w:t>
            </w:r>
            <w:r w:rsidRPr="00CA54A4">
              <w:rPr>
                <w:rFonts w:ascii="Lato" w:eastAsia="Times New Roman" w:hAnsi="Lato" w:cs="Arial"/>
                <w:sz w:val="22"/>
                <w:lang w:eastAsia="pl-PL"/>
              </w:rPr>
              <w:t xml:space="preserve"> może wpłynąć na poprawę jakości realizowanych świadczeń opieki zdrowotnej</w:t>
            </w:r>
            <w:r>
              <w:rPr>
                <w:rFonts w:ascii="Lato" w:eastAsia="Times New Roman" w:hAnsi="Lato" w:cs="Arial"/>
                <w:sz w:val="22"/>
                <w:lang w:eastAsia="pl-PL"/>
              </w:rPr>
              <w:t>.</w:t>
            </w:r>
          </w:p>
        </w:tc>
      </w:tr>
      <w:tr w:rsidR="00411025" w14:paraId="7F942C33" w14:textId="77777777">
        <w:trPr>
          <w:trHeight w:val="550"/>
        </w:trPr>
        <w:tc>
          <w:tcPr>
            <w:tcW w:w="615" w:type="dxa"/>
            <w:vAlign w:val="center"/>
          </w:tcPr>
          <w:p w14:paraId="4BEFE6EB"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9</w:t>
            </w:r>
          </w:p>
        </w:tc>
        <w:tc>
          <w:tcPr>
            <w:tcW w:w="2586" w:type="dxa"/>
            <w:gridSpan w:val="3"/>
            <w:vAlign w:val="center"/>
          </w:tcPr>
          <w:p w14:paraId="4D7AB3D1"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Rola Ministra Zdrowia w rozumieniu art. 4 pkt 7 RODO</w:t>
            </w:r>
            <w:r>
              <w:rPr>
                <w:rStyle w:val="Odwoanieprzypisudolnego"/>
                <w:rFonts w:ascii="Lato" w:eastAsia="Times New Roman" w:hAnsi="Lato" w:cs="Arial"/>
                <w:sz w:val="22"/>
                <w:lang w:eastAsia="pl-PL"/>
              </w:rPr>
              <w:footnoteReference w:id="3"/>
            </w:r>
            <w:r>
              <w:rPr>
                <w:rFonts w:ascii="Lato" w:eastAsia="Times New Roman" w:hAnsi="Lato" w:cs="Arial"/>
                <w:sz w:val="22"/>
                <w:lang w:eastAsia="pl-PL"/>
              </w:rPr>
              <w:t xml:space="preserve"> </w:t>
            </w:r>
          </w:p>
        </w:tc>
        <w:tc>
          <w:tcPr>
            <w:tcW w:w="6514" w:type="dxa"/>
            <w:gridSpan w:val="7"/>
            <w:vAlign w:val="center"/>
          </w:tcPr>
          <w:p w14:paraId="775128B9" w14:textId="456E672E" w:rsidR="00411025" w:rsidRDefault="00411025" w:rsidP="00A1386B">
            <w:pPr>
              <w:spacing w:line="240" w:lineRule="auto"/>
              <w:rPr>
                <w:rFonts w:ascii="Lato" w:eastAsia="Times New Roman" w:hAnsi="Lato" w:cs="Arial"/>
                <w:sz w:val="22"/>
                <w:lang w:eastAsia="pl-PL"/>
              </w:rPr>
            </w:pPr>
            <w:r>
              <w:rPr>
                <w:rFonts w:ascii="Lato" w:eastAsia="Times New Roman" w:hAnsi="Lato" w:cs="Arial"/>
                <w:sz w:val="22"/>
                <w:lang w:eastAsia="pl-PL"/>
              </w:rPr>
              <w:t>Rola tylko prawodawcza</w:t>
            </w:r>
          </w:p>
        </w:tc>
      </w:tr>
      <w:tr w:rsidR="00411025" w14:paraId="42CA28C2" w14:textId="77777777">
        <w:trPr>
          <w:trHeight w:val="550"/>
        </w:trPr>
        <w:tc>
          <w:tcPr>
            <w:tcW w:w="615" w:type="dxa"/>
            <w:vAlign w:val="center"/>
          </w:tcPr>
          <w:p w14:paraId="7270AF6A"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10</w:t>
            </w:r>
          </w:p>
        </w:tc>
        <w:tc>
          <w:tcPr>
            <w:tcW w:w="2586" w:type="dxa"/>
            <w:gridSpan w:val="3"/>
            <w:vAlign w:val="center"/>
          </w:tcPr>
          <w:p w14:paraId="68065E55"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w związku z rozpoczęciem przetwarzania po wejściu w życie aktu normatywnego powstanie zbiór danych, których administratorem lub </w:t>
            </w:r>
            <w:proofErr w:type="spellStart"/>
            <w:r>
              <w:rPr>
                <w:rFonts w:ascii="Lato" w:eastAsia="Times New Roman" w:hAnsi="Lato" w:cs="Arial"/>
                <w:sz w:val="22"/>
                <w:lang w:eastAsia="pl-PL"/>
              </w:rPr>
              <w:t>współadministratorem</w:t>
            </w:r>
            <w:proofErr w:type="spellEnd"/>
            <w:r>
              <w:rPr>
                <w:rFonts w:ascii="Lato" w:eastAsia="Times New Roman" w:hAnsi="Lato" w:cs="Arial"/>
                <w:sz w:val="22"/>
                <w:lang w:eastAsia="pl-PL"/>
              </w:rPr>
              <w:t xml:space="preserve"> danych osobowych będzie Minister Zdrowia?</w:t>
            </w:r>
          </w:p>
        </w:tc>
        <w:tc>
          <w:tcPr>
            <w:tcW w:w="6514" w:type="dxa"/>
            <w:gridSpan w:val="7"/>
            <w:vAlign w:val="center"/>
          </w:tcPr>
          <w:p w14:paraId="575DC136" w14:textId="47D5AAB2" w:rsidR="00411025" w:rsidRPr="002B1756" w:rsidRDefault="00411025"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nie</w:t>
            </w:r>
          </w:p>
        </w:tc>
      </w:tr>
      <w:tr w:rsidR="00411025" w14:paraId="0AC279BD" w14:textId="77777777">
        <w:trPr>
          <w:trHeight w:val="550"/>
        </w:trPr>
        <w:tc>
          <w:tcPr>
            <w:tcW w:w="615" w:type="dxa"/>
            <w:vAlign w:val="center"/>
          </w:tcPr>
          <w:p w14:paraId="608A62C8"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11</w:t>
            </w:r>
          </w:p>
        </w:tc>
        <w:tc>
          <w:tcPr>
            <w:tcW w:w="2586" w:type="dxa"/>
            <w:gridSpan w:val="3"/>
            <w:vAlign w:val="center"/>
          </w:tcPr>
          <w:p w14:paraId="37FC775C"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Zakres podmiotowy aktu normatywnego</w:t>
            </w:r>
            <w:r>
              <w:rPr>
                <w:rStyle w:val="Odwoanieprzypisudolnego"/>
                <w:rFonts w:ascii="Lato" w:eastAsia="Times New Roman" w:hAnsi="Lato" w:cs="Arial"/>
                <w:sz w:val="22"/>
                <w:lang w:eastAsia="pl-PL"/>
              </w:rPr>
              <w:footnoteReference w:id="4"/>
            </w:r>
          </w:p>
        </w:tc>
        <w:tc>
          <w:tcPr>
            <w:tcW w:w="6514" w:type="dxa"/>
            <w:gridSpan w:val="7"/>
            <w:vAlign w:val="center"/>
          </w:tcPr>
          <w:p w14:paraId="6B7BE30E" w14:textId="5492582D" w:rsidR="00411025" w:rsidRPr="002B1756" w:rsidRDefault="00411025" w:rsidP="00A1386B">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Narodowy Fundusz Zdrowia występujący w roli administratora w rozumieniu art. 4 pkt 7 RODO.</w:t>
            </w:r>
          </w:p>
        </w:tc>
      </w:tr>
      <w:tr w:rsidR="00411025" w14:paraId="0AF54774" w14:textId="77777777">
        <w:trPr>
          <w:trHeight w:val="715"/>
        </w:trPr>
        <w:tc>
          <w:tcPr>
            <w:tcW w:w="615" w:type="dxa"/>
            <w:vAlign w:val="center"/>
          </w:tcPr>
          <w:p w14:paraId="61C4FFA1"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12</w:t>
            </w:r>
          </w:p>
        </w:tc>
        <w:tc>
          <w:tcPr>
            <w:tcW w:w="2586" w:type="dxa"/>
            <w:gridSpan w:val="3"/>
            <w:vAlign w:val="center"/>
          </w:tcPr>
          <w:p w14:paraId="5D8FB7A0"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Na jakim obszarze będą przetwarzane dane osobowe (na terenie Polski/UE/EOG)?</w:t>
            </w:r>
            <w:r>
              <w:rPr>
                <w:rStyle w:val="Odwoanieprzypisudolnego"/>
                <w:rFonts w:ascii="Lato" w:eastAsia="Times New Roman" w:hAnsi="Lato" w:cs="Arial"/>
                <w:sz w:val="22"/>
                <w:lang w:eastAsia="pl-PL"/>
              </w:rPr>
              <w:footnoteReference w:id="5"/>
            </w:r>
            <w:r>
              <w:rPr>
                <w:rFonts w:ascii="Lato" w:eastAsia="Times New Roman" w:hAnsi="Lato" w:cs="Arial"/>
                <w:sz w:val="22"/>
                <w:lang w:eastAsia="pl-PL"/>
              </w:rPr>
              <w:t xml:space="preserve"> </w:t>
            </w:r>
          </w:p>
        </w:tc>
        <w:tc>
          <w:tcPr>
            <w:tcW w:w="6514" w:type="dxa"/>
            <w:gridSpan w:val="7"/>
            <w:vAlign w:val="center"/>
          </w:tcPr>
          <w:p w14:paraId="6D8463CB" w14:textId="06C44DF8"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Polski</w:t>
            </w:r>
          </w:p>
        </w:tc>
      </w:tr>
      <w:tr w:rsidR="00411025" w14:paraId="6CCADB67" w14:textId="77777777">
        <w:trPr>
          <w:trHeight w:val="637"/>
        </w:trPr>
        <w:tc>
          <w:tcPr>
            <w:tcW w:w="615" w:type="dxa"/>
            <w:vAlign w:val="center"/>
          </w:tcPr>
          <w:p w14:paraId="7EC2E569"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13</w:t>
            </w:r>
          </w:p>
        </w:tc>
        <w:tc>
          <w:tcPr>
            <w:tcW w:w="2586" w:type="dxa"/>
            <w:gridSpan w:val="3"/>
            <w:vAlign w:val="center"/>
          </w:tcPr>
          <w:p w14:paraId="15E7D6CC"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Źródło pozyskiwania danych</w:t>
            </w:r>
            <w:r>
              <w:rPr>
                <w:rStyle w:val="Odwoanieprzypisudolnego"/>
                <w:rFonts w:ascii="Lato" w:eastAsia="Times New Roman" w:hAnsi="Lato" w:cs="Arial"/>
                <w:sz w:val="22"/>
                <w:lang w:eastAsia="pl-PL"/>
              </w:rPr>
              <w:footnoteReference w:id="6"/>
            </w:r>
            <w:r>
              <w:rPr>
                <w:rFonts w:ascii="Lato" w:eastAsia="Times New Roman" w:hAnsi="Lato" w:cs="Arial"/>
                <w:sz w:val="22"/>
                <w:lang w:eastAsia="pl-PL"/>
              </w:rPr>
              <w:t xml:space="preserve"> </w:t>
            </w:r>
          </w:p>
        </w:tc>
        <w:tc>
          <w:tcPr>
            <w:tcW w:w="6514" w:type="dxa"/>
            <w:gridSpan w:val="7"/>
            <w:vAlign w:val="center"/>
          </w:tcPr>
          <w:p w14:paraId="7A280814" w14:textId="212079CC"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Usługodawcy realizujący świadczenia w zakresie endoprotezoplastyk stawowych</w:t>
            </w:r>
          </w:p>
        </w:tc>
      </w:tr>
      <w:tr w:rsidR="00411025" w14:paraId="49D4278E" w14:textId="77777777">
        <w:trPr>
          <w:trHeight w:val="699"/>
        </w:trPr>
        <w:tc>
          <w:tcPr>
            <w:tcW w:w="615" w:type="dxa"/>
            <w:vAlign w:val="center"/>
          </w:tcPr>
          <w:p w14:paraId="3D4FED3D"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14</w:t>
            </w:r>
          </w:p>
        </w:tc>
        <w:tc>
          <w:tcPr>
            <w:tcW w:w="2586" w:type="dxa"/>
            <w:gridSpan w:val="3"/>
            <w:vAlign w:val="center"/>
          </w:tcPr>
          <w:p w14:paraId="3E4D0983"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projekt aktu normatywnego przewiduje przekazywanie danych poza UE lub organizacjom międzynarodowym</w:t>
            </w:r>
            <w:r>
              <w:rPr>
                <w:rStyle w:val="Odwoanieprzypisudolnego"/>
                <w:rFonts w:ascii="Lato" w:eastAsia="Times New Roman" w:hAnsi="Lato" w:cs="Arial"/>
                <w:sz w:val="22"/>
                <w:lang w:eastAsia="pl-PL"/>
              </w:rPr>
              <w:footnoteReference w:id="7"/>
            </w:r>
          </w:p>
        </w:tc>
        <w:tc>
          <w:tcPr>
            <w:tcW w:w="6514" w:type="dxa"/>
            <w:gridSpan w:val="7"/>
            <w:vAlign w:val="center"/>
          </w:tcPr>
          <w:p w14:paraId="2C72C3F4" w14:textId="327B7852" w:rsidR="00411025" w:rsidRDefault="00411025" w:rsidP="00A1386B">
            <w:pPr>
              <w:tabs>
                <w:tab w:val="left" w:pos="2100"/>
              </w:tabs>
              <w:spacing w:line="240" w:lineRule="auto"/>
              <w:jc w:val="both"/>
              <w:rPr>
                <w:rFonts w:ascii="Lato" w:eastAsia="Times New Roman" w:hAnsi="Lato" w:cs="Arial"/>
                <w:sz w:val="22"/>
                <w:lang w:eastAsia="pl-PL"/>
              </w:rPr>
            </w:pPr>
            <w:r>
              <w:rPr>
                <w:rFonts w:ascii="Lato" w:eastAsia="Times New Roman" w:hAnsi="Lato" w:cs="Arial"/>
                <w:sz w:val="22"/>
                <w:lang w:eastAsia="pl-PL"/>
              </w:rPr>
              <w:t>nie</w:t>
            </w:r>
          </w:p>
        </w:tc>
      </w:tr>
      <w:tr w:rsidR="00411025" w14:paraId="4C760B50" w14:textId="77777777">
        <w:trPr>
          <w:trHeight w:val="696"/>
        </w:trPr>
        <w:tc>
          <w:tcPr>
            <w:tcW w:w="615" w:type="dxa"/>
            <w:vAlign w:val="center"/>
          </w:tcPr>
          <w:p w14:paraId="6AFE4A1A"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lastRenderedPageBreak/>
              <w:t>15</w:t>
            </w:r>
          </w:p>
        </w:tc>
        <w:tc>
          <w:tcPr>
            <w:tcW w:w="2586" w:type="dxa"/>
            <w:gridSpan w:val="3"/>
            <w:vAlign w:val="center"/>
          </w:tcPr>
          <w:p w14:paraId="386DA748" w14:textId="77777777" w:rsidR="00411025" w:rsidRPr="002B1756" w:rsidRDefault="00411025" w:rsidP="00411025">
            <w:pPr>
              <w:spacing w:line="240" w:lineRule="auto"/>
              <w:rPr>
                <w:rFonts w:ascii="Lato" w:eastAsia="Times New Roman" w:hAnsi="Lato" w:cs="Arial"/>
                <w:sz w:val="22"/>
                <w:lang w:eastAsia="pl-PL"/>
              </w:rPr>
            </w:pPr>
            <w:r w:rsidRPr="002B1756">
              <w:rPr>
                <w:rFonts w:ascii="Lato" w:eastAsia="Times New Roman" w:hAnsi="Lato" w:cs="Arial"/>
                <w:sz w:val="22"/>
                <w:lang w:eastAsia="pl-PL"/>
              </w:rPr>
              <w:t>Planowany termin rozpoczęcia przetwarzania danych osobowych przez administratora/ administratorów, których dotyczy akt normatywny</w:t>
            </w:r>
          </w:p>
        </w:tc>
        <w:tc>
          <w:tcPr>
            <w:tcW w:w="6514" w:type="dxa"/>
            <w:gridSpan w:val="7"/>
            <w:vAlign w:val="center"/>
          </w:tcPr>
          <w:p w14:paraId="61B734EB" w14:textId="3FC90A88" w:rsidR="00411025" w:rsidRPr="002B1756" w:rsidRDefault="00411025" w:rsidP="00411025">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Dane są przetwarzane nieprzerywalnie od 2019 r. od momentu powstania rejestru endoprotezoplastyk. Natomiast dane, które będą gromadzone po nowelizacji rozporządzenia będą przetwarzane od momentu dostosowania systemu informatycznego (min po 6 miesiącach). </w:t>
            </w:r>
          </w:p>
        </w:tc>
      </w:tr>
      <w:tr w:rsidR="00411025" w14:paraId="08E8F806" w14:textId="77777777">
        <w:trPr>
          <w:trHeight w:val="707"/>
        </w:trPr>
        <w:tc>
          <w:tcPr>
            <w:tcW w:w="9715" w:type="dxa"/>
            <w:gridSpan w:val="11"/>
            <w:vAlign w:val="center"/>
          </w:tcPr>
          <w:p w14:paraId="679CE423" w14:textId="77777777" w:rsidR="00411025" w:rsidRDefault="00411025" w:rsidP="00411025">
            <w:pPr>
              <w:pStyle w:val="Akapitzlist"/>
              <w:numPr>
                <w:ilvl w:val="0"/>
                <w:numId w:val="4"/>
              </w:numPr>
              <w:spacing w:after="0" w:line="240" w:lineRule="auto"/>
              <w:ind w:left="863" w:hanging="567"/>
              <w:jc w:val="both"/>
              <w:rPr>
                <w:rFonts w:ascii="Lato" w:eastAsia="Times New Roman" w:hAnsi="Lato" w:cs="Arial"/>
                <w:b/>
                <w:bCs/>
                <w:lang w:eastAsia="pl-PL"/>
              </w:rPr>
            </w:pPr>
            <w:r>
              <w:rPr>
                <w:rFonts w:ascii="Lato" w:eastAsia="Times New Roman" w:hAnsi="Lato" w:cs="Arial"/>
                <w:b/>
                <w:bCs/>
                <w:lang w:eastAsia="pl-PL"/>
              </w:rPr>
              <w:t>SZCZEGÓŁOWE INFORMACJE O PROJEKCIE AKTU NORMATYWNEGO</w:t>
            </w:r>
          </w:p>
        </w:tc>
      </w:tr>
      <w:tr w:rsidR="00411025" w14:paraId="3C9107E7" w14:textId="77777777">
        <w:trPr>
          <w:trHeight w:val="983"/>
        </w:trPr>
        <w:tc>
          <w:tcPr>
            <w:tcW w:w="615" w:type="dxa"/>
            <w:vAlign w:val="center"/>
          </w:tcPr>
          <w:p w14:paraId="6C7FA178"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1</w:t>
            </w:r>
          </w:p>
        </w:tc>
        <w:tc>
          <w:tcPr>
            <w:tcW w:w="2586" w:type="dxa"/>
            <w:gridSpan w:val="3"/>
            <w:vAlign w:val="center"/>
          </w:tcPr>
          <w:p w14:paraId="776267A2" w14:textId="77777777" w:rsidR="00411025" w:rsidRPr="002B1756" w:rsidRDefault="00411025" w:rsidP="00411025">
            <w:pPr>
              <w:pStyle w:val="Akapitzlist"/>
              <w:spacing w:after="0" w:line="240" w:lineRule="auto"/>
              <w:ind w:left="6"/>
              <w:rPr>
                <w:rFonts w:ascii="Lato" w:eastAsia="Times New Roman" w:hAnsi="Lato" w:cs="Arial"/>
                <w:bCs/>
                <w:lang w:eastAsia="pl-PL"/>
              </w:rPr>
            </w:pPr>
            <w:r w:rsidRPr="002B1756">
              <w:rPr>
                <w:rFonts w:ascii="Lato" w:hAnsi="Lato" w:cs="Arial"/>
                <w:bCs/>
              </w:rPr>
              <w:t>Opis planowanej operacji przetwarzania</w:t>
            </w:r>
            <w:r w:rsidRPr="002B1756">
              <w:rPr>
                <w:rStyle w:val="Odwoanieprzypisudolnego"/>
                <w:rFonts w:ascii="Lato" w:hAnsi="Lato" w:cs="Arial"/>
                <w:bCs/>
              </w:rPr>
              <w:footnoteReference w:id="8"/>
            </w:r>
            <w:r w:rsidRPr="002B1756">
              <w:rPr>
                <w:rFonts w:ascii="Lato" w:hAnsi="Lato" w:cs="Arial"/>
                <w:bCs/>
              </w:rPr>
              <w:t xml:space="preserve"> </w:t>
            </w:r>
          </w:p>
        </w:tc>
        <w:tc>
          <w:tcPr>
            <w:tcW w:w="6514" w:type="dxa"/>
            <w:gridSpan w:val="7"/>
            <w:vAlign w:val="center"/>
          </w:tcPr>
          <w:p w14:paraId="3DA05634" w14:textId="29E63004" w:rsidR="00CB13E8" w:rsidRPr="002B1756" w:rsidRDefault="00411025" w:rsidP="00CB13E8">
            <w:pPr>
              <w:jc w:val="both"/>
              <w:rPr>
                <w:rFonts w:ascii="Lato" w:eastAsia="Times New Roman" w:hAnsi="Lato" w:cs="Arial"/>
                <w:sz w:val="22"/>
                <w:lang w:eastAsia="pl-PL"/>
              </w:rPr>
            </w:pPr>
            <w:r w:rsidRPr="002B1756">
              <w:rPr>
                <w:rFonts w:ascii="Lato" w:eastAsia="Times New Roman" w:hAnsi="Lato" w:cs="Arial"/>
                <w:sz w:val="22"/>
                <w:lang w:eastAsia="pl-PL"/>
              </w:rPr>
              <w:t xml:space="preserve">Dane </w:t>
            </w:r>
            <w:r w:rsidR="00CB13E8" w:rsidRPr="002B1756">
              <w:rPr>
                <w:rFonts w:ascii="Lato" w:eastAsia="Times New Roman" w:hAnsi="Lato" w:cs="Arial"/>
                <w:sz w:val="22"/>
                <w:lang w:eastAsia="pl-PL"/>
              </w:rPr>
              <w:t>o zrealizowanych endoprotezoplastykach stawowych są gromadzone i przetwarzan</w:t>
            </w:r>
            <w:r w:rsidR="00A72813" w:rsidRPr="002B1756">
              <w:rPr>
                <w:rFonts w:ascii="Lato" w:eastAsia="Times New Roman" w:hAnsi="Lato" w:cs="Arial"/>
                <w:sz w:val="22"/>
                <w:lang w:eastAsia="pl-PL"/>
              </w:rPr>
              <w:t>e</w:t>
            </w:r>
            <w:r w:rsidR="00CB13E8" w:rsidRPr="002B1756">
              <w:rPr>
                <w:rFonts w:ascii="Lato" w:eastAsia="Times New Roman" w:hAnsi="Lato" w:cs="Arial"/>
                <w:sz w:val="22"/>
                <w:lang w:eastAsia="pl-PL"/>
              </w:rPr>
              <w:t xml:space="preserve"> w celu stałego monitorowania realizacji świadczeń z zakresu endoprotezoplastyki stawowej. Informacje o każdym zrealizowanym wszczepie są gromadzone w utworzonym Systemie Obsługi Rejestru Endoprotezoplastyk. Ankietę wypełnia usługodawca, który realizuje zabiegi endoprotezoplastyk stawowych (zarówno świadczeniodawcy posiadający umowę z Narodowym Funduszem Zdrowia jak i podmioty komercyjne). Dane w rejestrze endoprotezoplastyk są gromadzone nieprzerwalnie od 2019 r. </w:t>
            </w:r>
            <w:r w:rsidR="002B1756" w:rsidRPr="002B1756">
              <w:rPr>
                <w:rFonts w:ascii="Lato" w:eastAsia="Times New Roman" w:hAnsi="Lato" w:cs="Arial"/>
                <w:sz w:val="22"/>
                <w:lang w:eastAsia="pl-PL"/>
              </w:rPr>
              <w:t>Po otrzymaniu informacji o zgonie usługobiorcy, podmiot prowadzący rejestr niezwłocznie usuwa z rejestru dane, o których mowa w § 7 pkt. 1 lit. a, e, f, g.</w:t>
            </w:r>
            <w:r w:rsidR="002B1756" w:rsidRPr="002B1756">
              <w:rPr>
                <w:rFonts w:ascii="Lato" w:eastAsia="Times New Roman" w:hAnsi="Lato" w:cs="Arial"/>
                <w:sz w:val="22"/>
                <w:lang w:eastAsia="pl-PL"/>
              </w:rPr>
              <w:t xml:space="preserve"> </w:t>
            </w:r>
            <w:r w:rsidR="004C5520" w:rsidRPr="002B1756">
              <w:rPr>
                <w:rFonts w:ascii="Lato" w:eastAsia="Times New Roman" w:hAnsi="Lato" w:cs="Arial"/>
                <w:sz w:val="22"/>
                <w:lang w:eastAsia="pl-PL"/>
              </w:rPr>
              <w:t xml:space="preserve">Analizy kliniczne w tym zakresie wymagają danych historycznych </w:t>
            </w:r>
            <w:r w:rsidR="002B1756" w:rsidRPr="002B1756">
              <w:rPr>
                <w:rFonts w:ascii="Lato" w:eastAsia="Times New Roman" w:hAnsi="Lato" w:cs="Arial"/>
                <w:sz w:val="22"/>
                <w:lang w:eastAsia="pl-PL"/>
              </w:rPr>
              <w:t>za</w:t>
            </w:r>
            <w:r w:rsidR="009F35EC" w:rsidRPr="002B1756">
              <w:rPr>
                <w:rFonts w:ascii="Lato" w:eastAsia="Times New Roman" w:hAnsi="Lato" w:cs="Arial"/>
                <w:sz w:val="22"/>
                <w:lang w:eastAsia="pl-PL"/>
              </w:rPr>
              <w:t xml:space="preserve"> okres min. 20 lat (monitorowanie jakości wszczepów).</w:t>
            </w:r>
            <w:r w:rsidR="007075B9" w:rsidRPr="002B1756">
              <w:rPr>
                <w:rFonts w:ascii="Lato" w:eastAsia="Times New Roman" w:hAnsi="Lato" w:cs="Arial"/>
                <w:sz w:val="22"/>
                <w:lang w:eastAsia="pl-PL"/>
              </w:rPr>
              <w:t xml:space="preserve"> Z kolei gromadzenie danych kontaktowych jest niezbędne do </w:t>
            </w:r>
            <w:r w:rsidR="00AE7155" w:rsidRPr="002B1756">
              <w:rPr>
                <w:rFonts w:ascii="Lato" w:eastAsia="Times New Roman" w:hAnsi="Lato" w:cs="Arial"/>
                <w:sz w:val="22"/>
                <w:lang w:eastAsia="pl-PL"/>
              </w:rPr>
              <w:t>prowadzenia analiz satysfakcji pacjentów po zabiegu endoprotezoplastyki (jakość życia, dalsze problemy zdrowotne)</w:t>
            </w:r>
            <w:r w:rsidR="00742281" w:rsidRPr="002B1756">
              <w:rPr>
                <w:rFonts w:ascii="Lato" w:eastAsia="Times New Roman" w:hAnsi="Lato" w:cs="Arial"/>
                <w:sz w:val="22"/>
                <w:lang w:eastAsia="pl-PL"/>
              </w:rPr>
              <w:t xml:space="preserve"> oraz możliwości kontaktu z pacjentem w przypadku przekazania przez producenta </w:t>
            </w:r>
            <w:r w:rsidR="00367112" w:rsidRPr="002B1756">
              <w:rPr>
                <w:rFonts w:ascii="Lato" w:eastAsia="Times New Roman" w:hAnsi="Lato" w:cs="Arial"/>
                <w:sz w:val="22"/>
                <w:lang w:eastAsia="pl-PL"/>
              </w:rPr>
              <w:t>informacji o konieczności wymiany endoprotezy.</w:t>
            </w:r>
          </w:p>
          <w:p w14:paraId="152EB98D" w14:textId="44CD14C7" w:rsidR="00411025" w:rsidRPr="002B1756" w:rsidRDefault="00411025" w:rsidP="00411025">
            <w:pPr>
              <w:jc w:val="both"/>
              <w:rPr>
                <w:lang w:eastAsia="pl-PL"/>
              </w:rPr>
            </w:pPr>
          </w:p>
        </w:tc>
      </w:tr>
      <w:tr w:rsidR="00411025" w14:paraId="26700DFB" w14:textId="77777777">
        <w:trPr>
          <w:trHeight w:val="699"/>
        </w:trPr>
        <w:tc>
          <w:tcPr>
            <w:tcW w:w="615" w:type="dxa"/>
            <w:vAlign w:val="center"/>
          </w:tcPr>
          <w:p w14:paraId="22E8ECCE"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2</w:t>
            </w:r>
          </w:p>
        </w:tc>
        <w:tc>
          <w:tcPr>
            <w:tcW w:w="2586" w:type="dxa"/>
            <w:gridSpan w:val="3"/>
            <w:vAlign w:val="center"/>
          </w:tcPr>
          <w:p w14:paraId="5CD1640A" w14:textId="77777777" w:rsidR="00411025" w:rsidRPr="002B1756" w:rsidRDefault="00411025" w:rsidP="00411025">
            <w:pPr>
              <w:spacing w:line="240" w:lineRule="auto"/>
              <w:rPr>
                <w:rFonts w:ascii="Lato" w:eastAsia="Times New Roman" w:hAnsi="Lato" w:cs="Arial"/>
                <w:sz w:val="22"/>
                <w:lang w:eastAsia="pl-PL"/>
              </w:rPr>
            </w:pPr>
            <w:r w:rsidRPr="002B1756">
              <w:rPr>
                <w:rFonts w:ascii="Lato" w:eastAsia="Times New Roman" w:hAnsi="Lato" w:cs="Arial"/>
                <w:sz w:val="22"/>
                <w:lang w:eastAsia="pl-PL"/>
              </w:rPr>
              <w:t>Opis kontekstu przetwarzania</w:t>
            </w:r>
            <w:r w:rsidRPr="002B1756">
              <w:rPr>
                <w:rStyle w:val="Odwoanieprzypisudolnego"/>
                <w:bCs/>
              </w:rPr>
              <w:footnoteReference w:id="9"/>
            </w:r>
          </w:p>
        </w:tc>
        <w:tc>
          <w:tcPr>
            <w:tcW w:w="6514" w:type="dxa"/>
            <w:gridSpan w:val="7"/>
            <w:vAlign w:val="center"/>
          </w:tcPr>
          <w:p w14:paraId="67F7BF3A" w14:textId="17820D6A" w:rsidR="00411025" w:rsidRPr="002B1756" w:rsidRDefault="00411025" w:rsidP="00411025">
            <w:pPr>
              <w:spacing w:line="240" w:lineRule="auto"/>
              <w:jc w:val="both"/>
              <w:rPr>
                <w:rFonts w:ascii="Lato" w:eastAsia="Times New Roman" w:hAnsi="Lato" w:cs="Arial"/>
                <w:sz w:val="22"/>
                <w:lang w:eastAsia="pl-PL"/>
              </w:rPr>
            </w:pPr>
            <w:r w:rsidRPr="002B1756">
              <w:rPr>
                <w:rFonts w:ascii="Lato" w:eastAsia="Times New Roman" w:hAnsi="Lato" w:cs="Arial"/>
                <w:sz w:val="22"/>
                <w:lang w:eastAsia="pl-PL"/>
              </w:rPr>
              <w:t xml:space="preserve">Dane są przekazywane przez podmioty realizujące zabiegi w zakresie endoprotezoplastyk stawowych. Dane gromadzone w rejestrze dotyczą wszystkich grup wiekowych także dzieci, które miały wykonaną endoprotezoplastykę stawową. </w:t>
            </w:r>
          </w:p>
        </w:tc>
      </w:tr>
      <w:tr w:rsidR="00411025" w14:paraId="28F65ADA" w14:textId="77777777">
        <w:trPr>
          <w:trHeight w:val="553"/>
        </w:trPr>
        <w:tc>
          <w:tcPr>
            <w:tcW w:w="615" w:type="dxa"/>
            <w:vAlign w:val="center"/>
          </w:tcPr>
          <w:p w14:paraId="33D51DF7" w14:textId="77777777" w:rsidR="00411025" w:rsidRPr="008E3330" w:rsidRDefault="00411025" w:rsidP="00411025">
            <w:pPr>
              <w:pStyle w:val="Akapitzlist"/>
              <w:spacing w:after="0" w:line="240" w:lineRule="auto"/>
              <w:ind w:left="6"/>
              <w:jc w:val="center"/>
              <w:rPr>
                <w:rFonts w:ascii="Lato" w:hAnsi="Lato" w:cs="Arial"/>
                <w:b/>
              </w:rPr>
            </w:pPr>
            <w:r w:rsidRPr="008E3330">
              <w:rPr>
                <w:rFonts w:ascii="Lato" w:hAnsi="Lato" w:cs="Arial"/>
                <w:b/>
              </w:rPr>
              <w:t>3</w:t>
            </w:r>
          </w:p>
        </w:tc>
        <w:tc>
          <w:tcPr>
            <w:tcW w:w="2586" w:type="dxa"/>
            <w:gridSpan w:val="3"/>
            <w:vAlign w:val="center"/>
          </w:tcPr>
          <w:p w14:paraId="11EB6706" w14:textId="77777777" w:rsidR="00411025" w:rsidRPr="008E3330" w:rsidRDefault="00411025" w:rsidP="00411025">
            <w:pPr>
              <w:pStyle w:val="Akapitzlist"/>
              <w:spacing w:after="0" w:line="240" w:lineRule="auto"/>
              <w:ind w:left="6"/>
              <w:rPr>
                <w:rFonts w:ascii="Lato" w:hAnsi="Lato" w:cs="Arial"/>
                <w:bCs/>
              </w:rPr>
            </w:pPr>
            <w:r w:rsidRPr="008E3330">
              <w:rPr>
                <w:rFonts w:ascii="Lato" w:hAnsi="Lato" w:cs="Arial"/>
                <w:bCs/>
              </w:rPr>
              <w:t xml:space="preserve">Rodzaj danych osobowych </w:t>
            </w:r>
            <w:r w:rsidRPr="008E3330">
              <w:rPr>
                <w:rFonts w:ascii="Lato" w:hAnsi="Lato" w:cs="Arial"/>
                <w:bCs/>
              </w:rPr>
              <w:lastRenderedPageBreak/>
              <w:t>(zwykłe/szczególnej kategorii)</w:t>
            </w:r>
            <w:r w:rsidRPr="008E3330">
              <w:rPr>
                <w:rStyle w:val="Odwoanieprzypisudolnego"/>
                <w:rFonts w:ascii="Lato" w:hAnsi="Lato" w:cs="Arial"/>
                <w:bCs/>
              </w:rPr>
              <w:footnoteReference w:id="10"/>
            </w:r>
          </w:p>
        </w:tc>
        <w:tc>
          <w:tcPr>
            <w:tcW w:w="6514" w:type="dxa"/>
            <w:gridSpan w:val="7"/>
            <w:vAlign w:val="center"/>
          </w:tcPr>
          <w:p w14:paraId="2861BDEA" w14:textId="604BBB67" w:rsidR="00411025" w:rsidRPr="008E3330" w:rsidRDefault="00411025" w:rsidP="00411025">
            <w:pPr>
              <w:pStyle w:val="Akapitzlist"/>
              <w:spacing w:after="0" w:line="240" w:lineRule="auto"/>
              <w:ind w:left="70"/>
              <w:jc w:val="both"/>
              <w:rPr>
                <w:rFonts w:ascii="Lato" w:eastAsia="Times New Roman" w:hAnsi="Lato" w:cs="Arial"/>
                <w:lang w:eastAsia="pl-PL"/>
              </w:rPr>
            </w:pPr>
            <w:r w:rsidRPr="008E3330">
              <w:rPr>
                <w:rFonts w:ascii="Lato" w:eastAsia="Times New Roman" w:hAnsi="Lato" w:cs="Arial"/>
                <w:lang w:eastAsia="pl-PL"/>
              </w:rPr>
              <w:lastRenderedPageBreak/>
              <w:t xml:space="preserve">W rejestrze endoprotezoplastyk przetwarzane są zarówno zwykłe dane osobowe (np. imię i nazwisko, numer telefonu, numer PESEL, adres) jak i szczególne dane osobowe (dane dotyczące zdrowia) – </w:t>
            </w:r>
            <w:r w:rsidR="00F0483E" w:rsidRPr="008E3330">
              <w:rPr>
                <w:rFonts w:ascii="Lato" w:eastAsia="Times New Roman" w:hAnsi="Lato" w:cs="Arial"/>
                <w:lang w:eastAsia="pl-PL"/>
              </w:rPr>
              <w:t xml:space="preserve">wskazane w </w:t>
            </w:r>
            <w:r w:rsidRPr="008E3330">
              <w:rPr>
                <w:rFonts w:ascii="Lato" w:eastAsia="Times New Roman" w:hAnsi="Lato" w:cs="Arial"/>
                <w:lang w:eastAsia="pl-PL"/>
              </w:rPr>
              <w:t>§</w:t>
            </w:r>
            <w:r w:rsidR="008E3330" w:rsidRPr="008E3330">
              <w:rPr>
                <w:rFonts w:ascii="Lato" w:eastAsia="Times New Roman" w:hAnsi="Lato" w:cs="Arial"/>
                <w:lang w:eastAsia="pl-PL"/>
              </w:rPr>
              <w:t>7</w:t>
            </w:r>
            <w:r w:rsidRPr="008E3330">
              <w:rPr>
                <w:rFonts w:ascii="Lato" w:eastAsia="Times New Roman" w:hAnsi="Lato" w:cs="Arial"/>
                <w:lang w:eastAsia="pl-PL"/>
              </w:rPr>
              <w:t xml:space="preserve"> projektowanego rozporządzenia w sprawie rejestru endoprotezoplastyk</w:t>
            </w:r>
            <w:r w:rsidR="000A65E8" w:rsidRPr="008E3330">
              <w:rPr>
                <w:rFonts w:ascii="Lato" w:eastAsia="Times New Roman" w:hAnsi="Lato" w:cs="Arial"/>
                <w:lang w:eastAsia="pl-PL"/>
              </w:rPr>
              <w:t xml:space="preserve">, z uwzględnieniem </w:t>
            </w:r>
            <w:r w:rsidR="00F0483E" w:rsidRPr="008E3330">
              <w:rPr>
                <w:rFonts w:ascii="Lato" w:eastAsia="Times New Roman" w:hAnsi="Lato" w:cs="Arial"/>
                <w:lang w:eastAsia="pl-PL"/>
              </w:rPr>
              <w:t xml:space="preserve">art. 4 ust. 3 ustawy z dnia 28 kwietnia 2011 r. o systemie informacji w ochronie </w:t>
            </w:r>
            <w:r w:rsidR="00F0483E" w:rsidRPr="008E3330">
              <w:rPr>
                <w:rFonts w:ascii="Lato" w:eastAsia="Times New Roman" w:hAnsi="Lato" w:cs="Arial"/>
                <w:lang w:eastAsia="pl-PL"/>
              </w:rPr>
              <w:lastRenderedPageBreak/>
              <w:t>zdrowia</w:t>
            </w:r>
            <w:r w:rsidR="00935840" w:rsidRPr="008E3330">
              <w:rPr>
                <w:rFonts w:ascii="Lato" w:eastAsia="Times New Roman" w:hAnsi="Lato" w:cs="Arial"/>
                <w:lang w:eastAsia="pl-PL"/>
              </w:rPr>
              <w:t>,</w:t>
            </w:r>
            <w:r w:rsidR="00F0483E" w:rsidRPr="008E3330">
              <w:rPr>
                <w:rFonts w:ascii="Lato" w:eastAsia="Times New Roman" w:hAnsi="Lato" w:cs="Arial"/>
                <w:lang w:eastAsia="pl-PL"/>
              </w:rPr>
              <w:t xml:space="preserve"> w którym określono, że w systemie informacji są przetwarzane dane dotyczące usługobiorców które obejmują:</w:t>
            </w:r>
          </w:p>
          <w:p w14:paraId="2887F57A"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1) dane osobowe:</w:t>
            </w:r>
          </w:p>
          <w:p w14:paraId="02E112FB"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a) imię (imiona) i nazwisko,</w:t>
            </w:r>
          </w:p>
          <w:p w14:paraId="0FA1C98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b) nazwisko rodowe,</w:t>
            </w:r>
          </w:p>
          <w:p w14:paraId="4CBC14AF"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ba) imiona i nazwiska rodowe oraz numery PESEL rodziców,</w:t>
            </w:r>
          </w:p>
          <w:p w14:paraId="66725E9B"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bb</w:t>
            </w:r>
            <w:proofErr w:type="spellEnd"/>
            <w:r w:rsidRPr="008E3330">
              <w:rPr>
                <w:rFonts w:ascii="Lato" w:hAnsi="Lato" w:cs="Arial"/>
              </w:rPr>
              <w:t>) imię i nazwisko oraz numer PESEL przedstawicieli ustawowych, opiekunów prawnych, pełnomocników oraz opiekunów faktycznych w rozumieniu ustawy z dnia 6 listopada 2008 r. o prawach pacjenta i Rzeczniku Praw Pacjenta usługobiorców,</w:t>
            </w:r>
          </w:p>
          <w:p w14:paraId="4CA442C4"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c) płeć,</w:t>
            </w:r>
          </w:p>
          <w:p w14:paraId="54A2269A"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d) obywatelstwo,</w:t>
            </w:r>
          </w:p>
          <w:p w14:paraId="6BAFD422"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e) (uchylona)</w:t>
            </w:r>
          </w:p>
          <w:p w14:paraId="536A15A9"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f) wykształcenie,</w:t>
            </w:r>
          </w:p>
          <w:p w14:paraId="27CDD13C"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g) numer PESEL,</w:t>
            </w:r>
          </w:p>
          <w:p w14:paraId="1DE0A04C"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ga</w:t>
            </w:r>
            <w:proofErr w:type="spellEnd"/>
            <w:r w:rsidRPr="008E3330">
              <w:rPr>
                <w:rFonts w:ascii="Lato" w:hAnsi="Lato" w:cs="Arial"/>
              </w:rPr>
              <w:t>) serię i numer dowodu osobistego lub paszportu oraz datę ważności tych dokumentów,</w:t>
            </w:r>
          </w:p>
          <w:p w14:paraId="4D72519C"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gb</w:t>
            </w:r>
            <w:proofErr w:type="spellEnd"/>
            <w:r w:rsidRPr="008E3330">
              <w:rPr>
                <w:rFonts w:ascii="Lato" w:hAnsi="Lato" w:cs="Arial"/>
              </w:rPr>
              <w:t>) status cudzoziemca, o którym mowa w art. 8 pkt 24a ustawy z dnia 24 września 2010 r. o ewidencji ludności (Dz.U. z 2024 r. poz. 736 i 854),</w:t>
            </w:r>
          </w:p>
          <w:p w14:paraId="35B1AAE2"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h) datę urodzenia,</w:t>
            </w:r>
          </w:p>
          <w:p w14:paraId="7BF57870"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i) w przypadku osób, które nie mają nadanego numeru PESEL - seria i numer paszportu albo innego dokumentu stwierdzającego tożsamość albo 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w:t>
            </w:r>
            <w:proofErr w:type="spellStart"/>
            <w:r w:rsidRPr="008E3330">
              <w:rPr>
                <w:rFonts w:ascii="Lato" w:hAnsi="Lato" w:cs="Arial"/>
              </w:rPr>
              <w:t>Dz.Urz</w:t>
            </w:r>
            <w:proofErr w:type="spellEnd"/>
            <w:r w:rsidRPr="008E3330">
              <w:rPr>
                <w:rFonts w:ascii="Lato" w:hAnsi="Lato" w:cs="Arial"/>
              </w:rPr>
              <w:t xml:space="preserve">. UE L 235 z 09.09.2015, str. 1, z </w:t>
            </w:r>
            <w:proofErr w:type="spellStart"/>
            <w:r w:rsidRPr="008E3330">
              <w:rPr>
                <w:rFonts w:ascii="Lato" w:hAnsi="Lato" w:cs="Arial"/>
              </w:rPr>
              <w:t>późn</w:t>
            </w:r>
            <w:proofErr w:type="spellEnd"/>
            <w:r w:rsidRPr="008E3330">
              <w:rPr>
                <w:rFonts w:ascii="Lato" w:hAnsi="Lato" w:cs="Arial"/>
              </w:rPr>
              <w:t>. zm.7)), zwanym dalej "rozporządzeniem wykonawczym Komisji (UE) 2015/1501",</w:t>
            </w:r>
          </w:p>
          <w:p w14:paraId="131A66D0" w14:textId="77777777" w:rsidR="00F0483E" w:rsidRPr="008E3330" w:rsidRDefault="00F0483E" w:rsidP="00F0483E">
            <w:pPr>
              <w:pStyle w:val="Akapitzlist"/>
              <w:spacing w:line="240" w:lineRule="auto"/>
              <w:ind w:left="70"/>
              <w:jc w:val="both"/>
              <w:rPr>
                <w:rFonts w:ascii="Lato" w:hAnsi="Lato" w:cs="Arial"/>
              </w:rPr>
            </w:pPr>
            <w:proofErr w:type="spellStart"/>
            <w:r w:rsidRPr="008E3330">
              <w:rPr>
                <w:rFonts w:ascii="Lato" w:hAnsi="Lato" w:cs="Arial"/>
              </w:rPr>
              <w:t>ia</w:t>
            </w:r>
            <w:proofErr w:type="spellEnd"/>
            <w:r w:rsidRPr="008E3330">
              <w:rPr>
                <w:rFonts w:ascii="Lato" w:hAnsi="Lato" w:cs="Arial"/>
              </w:rPr>
              <w:t>) w przypadku noworodków, które nie mają nadanego numeru PESEL i nie posiadają serii i numeru innego dokumentu stwierdzającego tożsamość - numer PESEL przedstawiciela ustawowego albo seria i numer jego paszportu albo innego dokumentu stwierdzającego jego tożsamość albo niepowtarzalny identyfikator nadany przez państwo członkowskie Unii Europejskiej dla celów transgranicznej identyfikacji, o którym mowa w rozporządzeniu wykonawczym Komisji (UE) 2015/1501,</w:t>
            </w:r>
          </w:p>
          <w:p w14:paraId="76E6F26E"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j) adres miejsca zamieszkania i adres do korespondencji,</w:t>
            </w:r>
          </w:p>
          <w:p w14:paraId="14EF60FF"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ja) adres zameldowania,</w:t>
            </w:r>
          </w:p>
          <w:p w14:paraId="3E68D40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k) adres miejsca pobytu na terytorium Rzeczypospolitej Polskiej, jeżeli dana osoba nie ma na terytorium Rzeczypospolitej Polskiej miejsca zamieszkania,</w:t>
            </w:r>
          </w:p>
          <w:p w14:paraId="5699FB23"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l) adres poczty elektronicznej,</w:t>
            </w:r>
          </w:p>
          <w:p w14:paraId="6C444035"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lastRenderedPageBreak/>
              <w:t>m) numer i rodzaj dokumentu potwierdzającego prawo do świadczeń opieki zdrowotnej finansowanych ze środków publicznych,</w:t>
            </w:r>
          </w:p>
          <w:p w14:paraId="116030EF"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n) informację o posiadaniu orzeczenia o niepełnosprawności albo orzeczenia o stopniu niepełnosprawności,</w:t>
            </w:r>
          </w:p>
          <w:p w14:paraId="32420815"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o) informacje o uprawnieniach dodatkowych, w tym numer i termin ważności dokumentów potwierdzających te uprawnienia oraz datę utraty tych uprawnień,</w:t>
            </w:r>
          </w:p>
          <w:p w14:paraId="2A3CDD8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p) numery identyfikacyjne i numery ewidencyjne nadawane usługobiorcom przez płatników lub usługodawców,</w:t>
            </w:r>
          </w:p>
          <w:p w14:paraId="7C0A6976"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r) datę zgonu albo datę znalezienia zwłok,</w:t>
            </w:r>
          </w:p>
          <w:p w14:paraId="367CDEA3"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s) dane dotyczące zaświadczenia lekarskiego, o których mowa w art. 55 ust. 3 ustawy z dnia 25 czerwca 1999 r. o świadczeniach pieniężnych z ubezpieczenia społecznego w razie choroby i macierzyństwa (Dz.U. z 2023 r. poz. 2780 oraz z 2024 r. poz. 1871),</w:t>
            </w:r>
          </w:p>
          <w:p w14:paraId="6F75D5F9"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t) przyczynę zgonu,</w:t>
            </w:r>
          </w:p>
          <w:p w14:paraId="169EAB98"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u) informację o prawie do świadczeń opieki zdrowotnej finansowanych ze środków publicznych,</w:t>
            </w:r>
          </w:p>
          <w:p w14:paraId="60299CB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v) numer identyfikacyjny płatnika,</w:t>
            </w:r>
          </w:p>
          <w:p w14:paraId="376D0E2A"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w) numer telefonu kontaktowego,</w:t>
            </w:r>
          </w:p>
          <w:p w14:paraId="6DC52F41" w14:textId="77777777" w:rsidR="00F0483E" w:rsidRPr="008E3330" w:rsidRDefault="00F0483E" w:rsidP="00F0483E">
            <w:pPr>
              <w:pStyle w:val="Akapitzlist"/>
              <w:spacing w:line="240" w:lineRule="auto"/>
              <w:ind w:left="70"/>
              <w:jc w:val="both"/>
              <w:rPr>
                <w:rFonts w:ascii="Lato" w:hAnsi="Lato" w:cs="Arial"/>
              </w:rPr>
            </w:pPr>
            <w:r w:rsidRPr="008E3330">
              <w:rPr>
                <w:rFonts w:ascii="Lato" w:hAnsi="Lato" w:cs="Arial"/>
              </w:rPr>
              <w:t>x) informację o sprzeciwie zawartym w centralnym rejestrze sprzeciwów na pobranie komórek, tkanek i narządów ze zwłok ludzkich, o którym mowa w art. 7 ust. 1 ustawy z dnia 1 lipca 2005 r. o pobieraniu, przechowywaniu i przeszczepianiu komórek, tkanek i narządów (Dz.U. z 2023 r. poz. 1185);</w:t>
            </w:r>
          </w:p>
          <w:p w14:paraId="0EDBFFF0" w14:textId="6E6DF65C" w:rsidR="00F0483E" w:rsidRPr="008E3330" w:rsidRDefault="00F0483E" w:rsidP="00F0483E">
            <w:pPr>
              <w:pStyle w:val="Akapitzlist"/>
              <w:spacing w:after="0" w:line="240" w:lineRule="auto"/>
              <w:ind w:left="70"/>
              <w:jc w:val="both"/>
              <w:rPr>
                <w:rFonts w:ascii="Lato" w:hAnsi="Lato" w:cs="Arial"/>
              </w:rPr>
            </w:pPr>
            <w:r w:rsidRPr="008E3330">
              <w:rPr>
                <w:rFonts w:ascii="Lato" w:hAnsi="Lato" w:cs="Arial"/>
              </w:rPr>
              <w:t>2) jednostkowe dane medyczne.</w:t>
            </w:r>
          </w:p>
        </w:tc>
      </w:tr>
      <w:tr w:rsidR="00411025" w14:paraId="337D2D6E" w14:textId="77777777">
        <w:trPr>
          <w:trHeight w:val="553"/>
        </w:trPr>
        <w:tc>
          <w:tcPr>
            <w:tcW w:w="615" w:type="dxa"/>
            <w:vAlign w:val="center"/>
          </w:tcPr>
          <w:p w14:paraId="0E082DAC" w14:textId="77777777" w:rsidR="00411025" w:rsidRPr="008E3330" w:rsidRDefault="00411025" w:rsidP="00411025">
            <w:pPr>
              <w:pStyle w:val="Akapitzlist"/>
              <w:spacing w:after="0" w:line="240" w:lineRule="auto"/>
              <w:ind w:left="6"/>
              <w:jc w:val="center"/>
              <w:rPr>
                <w:rFonts w:ascii="Lato" w:hAnsi="Lato" w:cs="Arial"/>
                <w:b/>
              </w:rPr>
            </w:pPr>
            <w:r w:rsidRPr="008E3330">
              <w:rPr>
                <w:rFonts w:ascii="Lato" w:hAnsi="Lato" w:cs="Arial"/>
                <w:b/>
              </w:rPr>
              <w:lastRenderedPageBreak/>
              <w:t>4</w:t>
            </w:r>
          </w:p>
        </w:tc>
        <w:tc>
          <w:tcPr>
            <w:tcW w:w="2586" w:type="dxa"/>
            <w:gridSpan w:val="3"/>
            <w:vAlign w:val="center"/>
          </w:tcPr>
          <w:p w14:paraId="6ACCD61B" w14:textId="77777777" w:rsidR="00411025" w:rsidRPr="008E3330" w:rsidRDefault="00411025" w:rsidP="00411025">
            <w:pPr>
              <w:pStyle w:val="Akapitzlist"/>
              <w:spacing w:after="0" w:line="240" w:lineRule="auto"/>
              <w:ind w:left="6"/>
              <w:rPr>
                <w:rFonts w:ascii="Lato" w:hAnsi="Lato" w:cs="Arial"/>
                <w:bCs/>
              </w:rPr>
            </w:pPr>
            <w:r w:rsidRPr="008E3330">
              <w:rPr>
                <w:rFonts w:ascii="Lato" w:hAnsi="Lato" w:cs="Arial"/>
                <w:bCs/>
              </w:rPr>
              <w:t>Zakres danych osobowych</w:t>
            </w:r>
            <w:r w:rsidRPr="008E3330">
              <w:rPr>
                <w:rStyle w:val="Odwoanieprzypisudolnego"/>
                <w:rFonts w:ascii="Lato" w:hAnsi="Lato" w:cs="Arial"/>
                <w:bCs/>
              </w:rPr>
              <w:footnoteReference w:id="11"/>
            </w:r>
            <w:r w:rsidRPr="008E3330">
              <w:rPr>
                <w:rFonts w:ascii="Lato" w:hAnsi="Lato" w:cs="Arial"/>
                <w:bCs/>
              </w:rPr>
              <w:t xml:space="preserve"> </w:t>
            </w:r>
          </w:p>
        </w:tc>
        <w:tc>
          <w:tcPr>
            <w:tcW w:w="6514" w:type="dxa"/>
            <w:gridSpan w:val="7"/>
            <w:vAlign w:val="center"/>
          </w:tcPr>
          <w:p w14:paraId="45FBD1CC" w14:textId="56E4163B" w:rsidR="00935840" w:rsidRPr="00C65A72" w:rsidRDefault="00411025" w:rsidP="000551C6">
            <w:pPr>
              <w:pStyle w:val="Akapitzlist"/>
              <w:spacing w:after="0" w:line="240" w:lineRule="auto"/>
              <w:ind w:left="70"/>
              <w:jc w:val="both"/>
              <w:rPr>
                <w:rFonts w:ascii="Lato" w:eastAsia="Times New Roman" w:hAnsi="Lato" w:cs="Arial"/>
                <w:lang w:eastAsia="pl-PL"/>
              </w:rPr>
            </w:pPr>
            <w:r w:rsidRPr="008E3330">
              <w:rPr>
                <w:rFonts w:ascii="Lato" w:eastAsia="Times New Roman" w:hAnsi="Lato" w:cs="Arial"/>
                <w:lang w:eastAsia="pl-PL"/>
              </w:rPr>
              <w:t>Zgodny z §</w:t>
            </w:r>
            <w:r w:rsidR="008E3330" w:rsidRPr="008E3330">
              <w:rPr>
                <w:rFonts w:ascii="Lato" w:eastAsia="Times New Roman" w:hAnsi="Lato" w:cs="Arial"/>
                <w:lang w:eastAsia="pl-PL"/>
              </w:rPr>
              <w:t>7</w:t>
            </w:r>
            <w:r w:rsidRPr="008E3330">
              <w:t xml:space="preserve"> </w:t>
            </w:r>
            <w:r w:rsidRPr="008E3330">
              <w:rPr>
                <w:rFonts w:ascii="Lato" w:eastAsia="Times New Roman" w:hAnsi="Lato" w:cs="Arial"/>
                <w:lang w:eastAsia="pl-PL"/>
              </w:rPr>
              <w:t>projektowanego</w:t>
            </w:r>
            <w:r w:rsidRPr="00CC7256">
              <w:rPr>
                <w:rFonts w:ascii="Lato" w:eastAsia="Times New Roman" w:hAnsi="Lato" w:cs="Arial"/>
                <w:lang w:eastAsia="pl-PL"/>
              </w:rPr>
              <w:t xml:space="preserve"> rozporządzenia w sprawie rejestru endoprotezoplastyk</w:t>
            </w:r>
            <w:r w:rsidR="00F03FE3">
              <w:rPr>
                <w:rFonts w:ascii="Lato" w:eastAsia="Times New Roman" w:hAnsi="Lato" w:cs="Arial"/>
                <w:lang w:eastAsia="pl-PL"/>
              </w:rPr>
              <w:t xml:space="preserve"> </w:t>
            </w:r>
            <w:r w:rsidR="00270CB8">
              <w:rPr>
                <w:rFonts w:ascii="Lato" w:eastAsia="Times New Roman" w:hAnsi="Lato" w:cs="Arial"/>
                <w:lang w:eastAsia="pl-PL"/>
              </w:rPr>
              <w:t xml:space="preserve">oraz </w:t>
            </w:r>
            <w:r w:rsidR="00F03FE3">
              <w:rPr>
                <w:rFonts w:ascii="Lato" w:eastAsia="Times New Roman" w:hAnsi="Lato" w:cs="Arial"/>
                <w:lang w:eastAsia="pl-PL"/>
              </w:rPr>
              <w:t xml:space="preserve">na podstawie art. </w:t>
            </w:r>
            <w:r w:rsidR="00F0483E">
              <w:rPr>
                <w:rFonts w:ascii="Lato" w:eastAsia="Times New Roman" w:hAnsi="Lato" w:cs="Arial"/>
                <w:lang w:eastAsia="pl-PL"/>
              </w:rPr>
              <w:t xml:space="preserve">4 ust. 3 ustawy z dnia 28 kwietnia </w:t>
            </w:r>
            <w:r w:rsidR="00CB13E8">
              <w:rPr>
                <w:rFonts w:ascii="Lato" w:eastAsia="Times New Roman" w:hAnsi="Lato" w:cs="Arial"/>
                <w:lang w:eastAsia="pl-PL"/>
              </w:rPr>
              <w:t>2011 r. o systemie informacji w ochronie zdrowia</w:t>
            </w:r>
            <w:r w:rsidR="00935840">
              <w:rPr>
                <w:rFonts w:ascii="Lato" w:eastAsia="Times New Roman" w:hAnsi="Lato" w:cs="Arial"/>
                <w:lang w:eastAsia="pl-PL"/>
              </w:rPr>
              <w:t xml:space="preserve"> tj. </w:t>
            </w:r>
          </w:p>
          <w:p w14:paraId="778BC91B" w14:textId="14C7480E" w:rsidR="00935840" w:rsidRPr="000551C6" w:rsidRDefault="000551C6" w:rsidP="000551C6">
            <w:pPr>
              <w:spacing w:line="240" w:lineRule="auto"/>
              <w:jc w:val="both"/>
              <w:rPr>
                <w:rFonts w:ascii="Lato" w:eastAsia="Times New Roman" w:hAnsi="Lato" w:cs="Arial"/>
                <w:b/>
                <w:bCs/>
                <w:lang w:eastAsia="pl-PL"/>
              </w:rPr>
            </w:pPr>
            <w:r>
              <w:rPr>
                <w:rFonts w:ascii="Lato" w:eastAsia="Times New Roman" w:hAnsi="Lato" w:cs="Arial"/>
                <w:b/>
                <w:bCs/>
                <w:lang w:eastAsia="pl-PL"/>
              </w:rPr>
              <w:t xml:space="preserve">1) </w:t>
            </w:r>
            <w:r w:rsidR="00935840" w:rsidRPr="000551C6">
              <w:rPr>
                <w:rFonts w:ascii="Lato" w:eastAsia="Times New Roman" w:hAnsi="Lato" w:cs="Arial"/>
                <w:b/>
                <w:bCs/>
                <w:lang w:eastAsia="pl-PL"/>
              </w:rPr>
              <w:t xml:space="preserve">dane osobowe dotyczące usługobiorcy: </w:t>
            </w:r>
          </w:p>
          <w:p w14:paraId="0BF2ED17"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 xml:space="preserve">a) imię (imiona) i nazwisko, </w:t>
            </w:r>
          </w:p>
          <w:p w14:paraId="017E44D4"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 xml:space="preserve">b) numer PESEL, a w przypadku osób, które nie mają nadanego numeru PESEL – seria </w:t>
            </w:r>
          </w:p>
          <w:p w14:paraId="642338B4"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 xml:space="preserve">i numer paszportu albo innego dokumentu stwierdzającego tożsamość albo 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w:t>
            </w:r>
          </w:p>
          <w:p w14:paraId="36433A5E"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 xml:space="preserve">i usług zaufania w odniesieniu do transakcji elektronicznych na rynku wewnętrznym (Dz. Urz. UE L 235 z 09.09.2015, str. 1, z </w:t>
            </w:r>
            <w:proofErr w:type="spellStart"/>
            <w:r w:rsidRPr="008E3330">
              <w:rPr>
                <w:rFonts w:ascii="Lato" w:eastAsia="Times New Roman" w:hAnsi="Lato" w:cs="Arial"/>
                <w:lang w:eastAsia="pl-PL"/>
              </w:rPr>
              <w:t>późn</w:t>
            </w:r>
            <w:proofErr w:type="spellEnd"/>
            <w:r w:rsidRPr="008E3330">
              <w:rPr>
                <w:rFonts w:ascii="Lato" w:eastAsia="Times New Roman" w:hAnsi="Lato" w:cs="Arial"/>
                <w:lang w:eastAsia="pl-PL"/>
              </w:rPr>
              <w:t>. zm. )),</w:t>
            </w:r>
          </w:p>
          <w:p w14:paraId="4C22F972"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c) płeć, w przypadku osób, które nie mają nadanego numeru PESEL,</w:t>
            </w:r>
          </w:p>
          <w:p w14:paraId="74C86752"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lastRenderedPageBreak/>
              <w:t xml:space="preserve">d) datę urodzenia, w przypadku osób, które nie mają nadanego numeru PESEL, </w:t>
            </w:r>
          </w:p>
          <w:p w14:paraId="4730BDFC"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e) obywatelstwo,</w:t>
            </w:r>
          </w:p>
          <w:p w14:paraId="33F53681"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f) adres miejsca zamieszkania lub adres do korespondencji,</w:t>
            </w:r>
          </w:p>
          <w:p w14:paraId="6138B10D"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g) numer telefonu kontaktowego lub adres poczty elektronicznej, jeżeli został wskazany,</w:t>
            </w:r>
          </w:p>
          <w:p w14:paraId="56ED36C8" w14:textId="77777777"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h) datę zgonu,</w:t>
            </w:r>
          </w:p>
          <w:p w14:paraId="7FC97108" w14:textId="655B888C" w:rsidR="008E3330" w:rsidRPr="008E3330" w:rsidRDefault="008E3330" w:rsidP="008E3330">
            <w:pPr>
              <w:spacing w:line="240" w:lineRule="auto"/>
              <w:jc w:val="both"/>
              <w:rPr>
                <w:rFonts w:ascii="Lato" w:eastAsia="Times New Roman" w:hAnsi="Lato" w:cs="Arial"/>
                <w:lang w:eastAsia="pl-PL"/>
              </w:rPr>
            </w:pPr>
            <w:r w:rsidRPr="008E3330">
              <w:rPr>
                <w:rFonts w:ascii="Lato" w:eastAsia="Times New Roman" w:hAnsi="Lato" w:cs="Arial"/>
                <w:lang w:eastAsia="pl-PL"/>
              </w:rPr>
              <w:t>i) przyczynę zgonu;</w:t>
            </w:r>
          </w:p>
          <w:p w14:paraId="52ABB0A0" w14:textId="77777777" w:rsidR="00935840" w:rsidRPr="000551C6" w:rsidRDefault="00935840" w:rsidP="000551C6">
            <w:pPr>
              <w:spacing w:line="240" w:lineRule="auto"/>
              <w:jc w:val="both"/>
              <w:rPr>
                <w:rFonts w:ascii="Lato" w:eastAsia="Times New Roman" w:hAnsi="Lato" w:cs="Arial"/>
                <w:b/>
                <w:bCs/>
                <w:lang w:eastAsia="pl-PL"/>
              </w:rPr>
            </w:pPr>
            <w:r w:rsidRPr="000551C6">
              <w:rPr>
                <w:rFonts w:ascii="Lato" w:eastAsia="Times New Roman" w:hAnsi="Lato" w:cs="Arial"/>
                <w:b/>
                <w:bCs/>
                <w:lang w:eastAsia="pl-PL"/>
              </w:rPr>
              <w:t>2) jednostkowe dane medyczne dotyczące usługobiorcy:</w:t>
            </w:r>
          </w:p>
          <w:p w14:paraId="1FA3BDBF"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a) datę przyjęcia i dokonania wypisu od usługodawcy,</w:t>
            </w:r>
          </w:p>
          <w:p w14:paraId="67B31722"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b) tryb przyjęcia i wypisu od usługodawcy,</w:t>
            </w:r>
          </w:p>
          <w:p w14:paraId="5C8B6FE2"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c) usługodawcę, od którego usługobiorca został przyjęty,</w:t>
            </w:r>
          </w:p>
          <w:p w14:paraId="6C500698"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d) liczbę dni hospitalizacji,</w:t>
            </w:r>
          </w:p>
          <w:p w14:paraId="5519D8B9"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e) usługodawcę, do którego usługobiorca został przekazany,</w:t>
            </w:r>
          </w:p>
          <w:p w14:paraId="5B9C1370"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f) informacje o przedoperacyjnych czynnikach ryzyka,</w:t>
            </w:r>
          </w:p>
          <w:p w14:paraId="0DA28E8D"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g) informacje o chorobach współistniejących,</w:t>
            </w:r>
          </w:p>
          <w:p w14:paraId="3043690D"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h) informacje o wykonanych badaniach diagnostycznych obejmujące:</w:t>
            </w:r>
          </w:p>
          <w:p w14:paraId="2521E98C"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rodzaj badania,</w:t>
            </w:r>
          </w:p>
          <w:p w14:paraId="210960D3"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datę wykonania badania,</w:t>
            </w:r>
          </w:p>
          <w:p w14:paraId="7FD444A2"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i) informacje o parametrach antropometrycznych obejmujące:</w:t>
            </w:r>
          </w:p>
          <w:p w14:paraId="0D59EDB8"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wagę,</w:t>
            </w:r>
          </w:p>
          <w:p w14:paraId="4E0170DA"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wzrost,</w:t>
            </w:r>
          </w:p>
          <w:p w14:paraId="28534033"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wskaźnik masy ciała (BMI),</w:t>
            </w:r>
          </w:p>
          <w:p w14:paraId="1CD2B8AD"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j) datę zabiegu endoprotezoplastyki,</w:t>
            </w:r>
          </w:p>
          <w:p w14:paraId="13CB5D24" w14:textId="10F31160" w:rsidR="00935840" w:rsidRPr="00C65A72"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k) numer w księdze głównej przyjęć i wypisów usługodawcy, pod którym dokonano</w:t>
            </w:r>
            <w:r>
              <w:rPr>
                <w:rFonts w:ascii="Lato" w:eastAsia="Times New Roman" w:hAnsi="Lato" w:cs="Arial"/>
                <w:lang w:eastAsia="pl-PL"/>
              </w:rPr>
              <w:t xml:space="preserve"> </w:t>
            </w:r>
            <w:r w:rsidRPr="00C65A72">
              <w:rPr>
                <w:rFonts w:ascii="Lato" w:eastAsia="Times New Roman" w:hAnsi="Lato" w:cs="Arial"/>
                <w:lang w:eastAsia="pl-PL"/>
              </w:rPr>
              <w:t>wpisu o przyjęciu usługobiorcy, któremu udzielono świadczenia opieki zdrowotnej, rok dokonania wpisu i numer księgi głównej,</w:t>
            </w:r>
          </w:p>
          <w:p w14:paraId="345176F6" w14:textId="5C3318E3" w:rsidR="00935840" w:rsidRPr="00C65A72"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l) kod rozpoznania głównego według Międzynarodowej Statystycznej Klasyfikacji</w:t>
            </w:r>
            <w:r>
              <w:rPr>
                <w:rFonts w:ascii="Lato" w:eastAsia="Times New Roman" w:hAnsi="Lato" w:cs="Arial"/>
                <w:lang w:eastAsia="pl-PL"/>
              </w:rPr>
              <w:t xml:space="preserve"> </w:t>
            </w:r>
            <w:r w:rsidRPr="00C65A72">
              <w:rPr>
                <w:rFonts w:ascii="Lato" w:eastAsia="Times New Roman" w:hAnsi="Lato" w:cs="Arial"/>
                <w:lang w:eastAsia="pl-PL"/>
              </w:rPr>
              <w:t>Chorób i Problemów Zdrowotnych ICD-10,</w:t>
            </w:r>
          </w:p>
          <w:p w14:paraId="50582CEC" w14:textId="5BD92ADF" w:rsidR="00935840" w:rsidRPr="00C65A72"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m) kody nie więcej niż trzech najważniejszych przyczyn współistniejących według</w:t>
            </w:r>
            <w:r>
              <w:rPr>
                <w:rFonts w:ascii="Lato" w:eastAsia="Times New Roman" w:hAnsi="Lato" w:cs="Arial"/>
                <w:lang w:eastAsia="pl-PL"/>
              </w:rPr>
              <w:t xml:space="preserve"> </w:t>
            </w:r>
            <w:r w:rsidRPr="00C65A72">
              <w:rPr>
                <w:rFonts w:ascii="Lato" w:eastAsia="Times New Roman" w:hAnsi="Lato" w:cs="Arial"/>
                <w:lang w:eastAsia="pl-PL"/>
              </w:rPr>
              <w:t>Międzynarodowej Statystycznej Klasyfikacji Chorób i Problemów Zdrowotnych</w:t>
            </w:r>
            <w:r>
              <w:rPr>
                <w:rFonts w:ascii="Lato" w:eastAsia="Times New Roman" w:hAnsi="Lato" w:cs="Arial"/>
                <w:lang w:eastAsia="pl-PL"/>
              </w:rPr>
              <w:t xml:space="preserve"> </w:t>
            </w:r>
            <w:r w:rsidRPr="00C65A72">
              <w:rPr>
                <w:rFonts w:ascii="Lato" w:eastAsia="Times New Roman" w:hAnsi="Lato" w:cs="Arial"/>
                <w:lang w:eastAsia="pl-PL"/>
              </w:rPr>
              <w:t>ICD-10,</w:t>
            </w:r>
          </w:p>
          <w:p w14:paraId="6BD79C9A" w14:textId="1CB96A7E" w:rsidR="00935840" w:rsidRPr="008E3330" w:rsidRDefault="00935840" w:rsidP="00D90CD1">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xml:space="preserve">n) kody </w:t>
            </w:r>
            <w:r w:rsidRPr="008E3330">
              <w:rPr>
                <w:rFonts w:ascii="Lato" w:eastAsia="Times New Roman" w:hAnsi="Lato" w:cs="Arial"/>
                <w:lang w:eastAsia="pl-PL"/>
              </w:rPr>
              <w:t>zrealizowanych istotnych procedur medycznych według Międzynarodowej Klasyfikacji Procedur Medycznych ICD-9 PL CM, obejmujące</w:t>
            </w:r>
            <w:r w:rsidR="00D90CD1" w:rsidRPr="008E3330">
              <w:rPr>
                <w:rFonts w:ascii="Lato" w:eastAsia="Times New Roman" w:hAnsi="Lato" w:cs="Arial"/>
                <w:lang w:eastAsia="pl-PL"/>
              </w:rPr>
              <w:t xml:space="preserve"> </w:t>
            </w:r>
            <w:r w:rsidRPr="008E3330">
              <w:rPr>
                <w:rFonts w:ascii="Lato" w:eastAsia="Times New Roman" w:hAnsi="Lato" w:cs="Arial"/>
                <w:lang w:eastAsia="pl-PL"/>
              </w:rPr>
              <w:t>procedury</w:t>
            </w:r>
            <w:r w:rsidR="00D90CD1" w:rsidRPr="008E3330">
              <w:rPr>
                <w:rFonts w:ascii="Lato" w:eastAsia="Times New Roman" w:hAnsi="Lato" w:cs="Arial"/>
                <w:lang w:eastAsia="pl-PL"/>
              </w:rPr>
              <w:t xml:space="preserve"> wymienione enumeratywnie w § </w:t>
            </w:r>
            <w:r w:rsidR="008E3330" w:rsidRPr="008E3330">
              <w:rPr>
                <w:rFonts w:ascii="Lato" w:eastAsia="Times New Roman" w:hAnsi="Lato" w:cs="Arial"/>
                <w:lang w:eastAsia="pl-PL"/>
              </w:rPr>
              <w:t>7</w:t>
            </w:r>
            <w:r w:rsidR="00D90CD1" w:rsidRPr="008E3330">
              <w:rPr>
                <w:rFonts w:ascii="Lato" w:eastAsia="Times New Roman" w:hAnsi="Lato" w:cs="Arial"/>
                <w:lang w:eastAsia="pl-PL"/>
              </w:rPr>
              <w:t xml:space="preserve"> pkt 2 lit. n. </w:t>
            </w:r>
          </w:p>
          <w:p w14:paraId="314C4CD5" w14:textId="77777777" w:rsidR="008E3330" w:rsidRPr="008E3330"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o) datę i przyczynę niewykonania zabiegu endoprotezoplastyki – w przypadku usługobiorcy, u którego nie wykonano tego zabiegu,</w:t>
            </w:r>
          </w:p>
          <w:p w14:paraId="24AC1FDF" w14:textId="572C438C" w:rsidR="00D90CD1" w:rsidRPr="008E3330"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 xml:space="preserve">p) datę wpisu na listę oczekujących na udzielenie świadczenia, jeżeli dotyczy, </w:t>
            </w:r>
          </w:p>
          <w:p w14:paraId="557CFB89" w14:textId="77777777" w:rsidR="00D90CD1" w:rsidRPr="008E3330"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 xml:space="preserve">q) informacje o ryzyku operacyjnym wyrażonym w skali American </w:t>
            </w:r>
            <w:proofErr w:type="spellStart"/>
            <w:r w:rsidRPr="008E3330">
              <w:rPr>
                <w:rFonts w:ascii="Lato" w:eastAsia="Times New Roman" w:hAnsi="Lato" w:cs="Arial"/>
                <w:lang w:eastAsia="pl-PL"/>
              </w:rPr>
              <w:t>Society</w:t>
            </w:r>
            <w:proofErr w:type="spellEnd"/>
            <w:r w:rsidRPr="008E3330">
              <w:rPr>
                <w:rFonts w:ascii="Lato" w:eastAsia="Times New Roman" w:hAnsi="Lato" w:cs="Arial"/>
                <w:lang w:eastAsia="pl-PL"/>
              </w:rPr>
              <w:t xml:space="preserve"> of </w:t>
            </w:r>
            <w:proofErr w:type="spellStart"/>
            <w:r w:rsidRPr="008E3330">
              <w:rPr>
                <w:rFonts w:ascii="Lato" w:eastAsia="Times New Roman" w:hAnsi="Lato" w:cs="Arial"/>
                <w:lang w:eastAsia="pl-PL"/>
              </w:rPr>
              <w:t>Anesthesiologists</w:t>
            </w:r>
            <w:proofErr w:type="spellEnd"/>
            <w:r w:rsidRPr="008E3330">
              <w:rPr>
                <w:rFonts w:ascii="Lato" w:eastAsia="Times New Roman" w:hAnsi="Lato" w:cs="Arial"/>
                <w:lang w:eastAsia="pl-PL"/>
              </w:rPr>
              <w:t xml:space="preserve"> (ASA);</w:t>
            </w:r>
          </w:p>
          <w:p w14:paraId="06AC337A" w14:textId="05D86B19" w:rsidR="00D90CD1" w:rsidRPr="000551C6" w:rsidRDefault="00D90CD1" w:rsidP="00D90CD1">
            <w:pPr>
              <w:pStyle w:val="Akapitzlist"/>
              <w:spacing w:line="240" w:lineRule="auto"/>
              <w:ind w:left="70"/>
              <w:jc w:val="both"/>
              <w:rPr>
                <w:rFonts w:ascii="Lato" w:eastAsia="Times New Roman" w:hAnsi="Lato" w:cs="Arial"/>
                <w:b/>
                <w:bCs/>
                <w:lang w:eastAsia="pl-PL"/>
              </w:rPr>
            </w:pPr>
            <w:r w:rsidRPr="000551C6">
              <w:rPr>
                <w:rFonts w:ascii="Lato" w:eastAsia="Times New Roman" w:hAnsi="Lato" w:cs="Arial"/>
                <w:b/>
                <w:bCs/>
                <w:lang w:eastAsia="pl-PL"/>
              </w:rPr>
              <w:t>3)</w:t>
            </w:r>
            <w:r w:rsidR="000551C6" w:rsidRPr="000551C6">
              <w:rPr>
                <w:rFonts w:ascii="Lato" w:eastAsia="Times New Roman" w:hAnsi="Lato" w:cs="Arial"/>
                <w:b/>
                <w:bCs/>
                <w:lang w:eastAsia="pl-PL"/>
              </w:rPr>
              <w:t xml:space="preserve"> </w:t>
            </w:r>
            <w:r w:rsidRPr="000551C6">
              <w:rPr>
                <w:rFonts w:ascii="Lato" w:eastAsia="Times New Roman" w:hAnsi="Lato" w:cs="Arial"/>
                <w:b/>
                <w:bCs/>
                <w:lang w:eastAsia="pl-PL"/>
              </w:rPr>
              <w:t>pozostałe jednostkowe dane medyczne dotyczące endoprotezoplastyk stawowych:</w:t>
            </w:r>
          </w:p>
          <w:p w14:paraId="7B053838" w14:textId="174F6D25" w:rsidR="00D90CD1" w:rsidRPr="008E3330"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 xml:space="preserve">a) nazwę stawu, którego dotyczy świadczenie opieki zdrowotnej, o którym mowa w § </w:t>
            </w:r>
            <w:r w:rsidR="008E3330" w:rsidRPr="008E3330">
              <w:rPr>
                <w:rFonts w:ascii="Lato" w:eastAsia="Times New Roman" w:hAnsi="Lato" w:cs="Arial"/>
                <w:lang w:eastAsia="pl-PL"/>
              </w:rPr>
              <w:t>6</w:t>
            </w:r>
            <w:r w:rsidR="00422240" w:rsidRPr="008E3330">
              <w:rPr>
                <w:rFonts w:ascii="Lato" w:eastAsia="Times New Roman" w:hAnsi="Lato" w:cs="Arial"/>
                <w:lang w:eastAsia="pl-PL"/>
              </w:rPr>
              <w:t xml:space="preserve"> </w:t>
            </w:r>
            <w:r w:rsidRPr="008E3330">
              <w:rPr>
                <w:rFonts w:ascii="Lato" w:eastAsia="Times New Roman" w:hAnsi="Lato" w:cs="Arial"/>
                <w:lang w:eastAsia="pl-PL"/>
              </w:rPr>
              <w:t>pkt 1,</w:t>
            </w:r>
          </w:p>
          <w:p w14:paraId="124AA459" w14:textId="77777777" w:rsidR="00D90CD1" w:rsidRPr="008E3330"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b) rodzaj zabiegu endoprotezoplastyki,</w:t>
            </w:r>
          </w:p>
          <w:p w14:paraId="548FA24D"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c) rodzaj endoprotezy,</w:t>
            </w:r>
          </w:p>
          <w:p w14:paraId="2552581D"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lastRenderedPageBreak/>
              <w:t>d) rodzaj alloplastyki,</w:t>
            </w:r>
          </w:p>
          <w:p w14:paraId="630B18D7"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e) wykaz wszczepionych elementów,</w:t>
            </w:r>
          </w:p>
          <w:p w14:paraId="3BC4D4CF"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f) wykonane procedury śródoperacyjne,</w:t>
            </w:r>
          </w:p>
          <w:p w14:paraId="0924E7D6"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g) rodzaj znieczulenia,</w:t>
            </w:r>
          </w:p>
          <w:p w14:paraId="6779AABA" w14:textId="454089ED"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h) typ i średnica artykulacji – w przypadku zabiegu pierwotnej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i rewizyjnej endoprotezoplastyki stawu biodrowego, ramiennego i łokciowego,</w:t>
            </w:r>
          </w:p>
          <w:p w14:paraId="6D40877A" w14:textId="7C915055"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i) dostęp operacyjny – w przypadku zabiegu pierwotnej endoprotezoplastyki stawu</w:t>
            </w:r>
            <w:r w:rsidR="007D61E9">
              <w:rPr>
                <w:rFonts w:ascii="Lato" w:eastAsia="Times New Roman" w:hAnsi="Lato" w:cs="Arial"/>
                <w:lang w:eastAsia="pl-PL"/>
              </w:rPr>
              <w:t xml:space="preserve"> </w:t>
            </w:r>
            <w:r w:rsidRPr="00C65A72">
              <w:rPr>
                <w:rFonts w:ascii="Lato" w:eastAsia="Times New Roman" w:hAnsi="Lato" w:cs="Arial"/>
                <w:lang w:eastAsia="pl-PL"/>
              </w:rPr>
              <w:t>biodrowego i kolanowego,</w:t>
            </w:r>
          </w:p>
          <w:p w14:paraId="3A475E42" w14:textId="1FFDD605"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j) dodatkowe elementy wszczepu – w przypadku zabiegu pierwotnej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i rewizyjnej endoprotezoplastyki stawu biodrowego i kolanowego,</w:t>
            </w:r>
          </w:p>
          <w:p w14:paraId="660E448E"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k) liczbę zabiegów rewizyjnej endoprotezoplastyki i daty ich wykonania,</w:t>
            </w:r>
          </w:p>
          <w:p w14:paraId="4C68DF64"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l) przyczynę zabiegu rewizyjnej endoprotezoplastyki,</w:t>
            </w:r>
          </w:p>
          <w:p w14:paraId="619D9BEA" w14:textId="25BE357A"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m) rodzaj i nazwę usuniętego implantu, jeżeli było to przedmiotem zabiegu rewizyjnej</w:t>
            </w:r>
            <w:r w:rsidR="007D61E9">
              <w:rPr>
                <w:rFonts w:ascii="Lato" w:eastAsia="Times New Roman" w:hAnsi="Lato" w:cs="Arial"/>
                <w:lang w:eastAsia="pl-PL"/>
              </w:rPr>
              <w:t xml:space="preserve"> </w:t>
            </w:r>
            <w:r w:rsidRPr="00C65A72">
              <w:rPr>
                <w:rFonts w:ascii="Lato" w:eastAsia="Times New Roman" w:hAnsi="Lato" w:cs="Arial"/>
                <w:lang w:eastAsia="pl-PL"/>
              </w:rPr>
              <w:t>endoprotezoplastyki,</w:t>
            </w:r>
          </w:p>
          <w:p w14:paraId="3D7F0B81" w14:textId="4B993840"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n) sposób usunięcia trzpienia – w przypadku zabiegu rewizyjnej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stawu biodrowego,</w:t>
            </w:r>
          </w:p>
          <w:p w14:paraId="057FA495" w14:textId="50C3F782"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o) informację o użyciu </w:t>
            </w:r>
            <w:proofErr w:type="spellStart"/>
            <w:r w:rsidRPr="00D90CD1">
              <w:rPr>
                <w:rFonts w:ascii="Lato" w:eastAsia="Times New Roman" w:hAnsi="Lato" w:cs="Arial"/>
                <w:lang w:eastAsia="pl-PL"/>
              </w:rPr>
              <w:t>spacera</w:t>
            </w:r>
            <w:proofErr w:type="spellEnd"/>
            <w:r w:rsidRPr="00D90CD1">
              <w:rPr>
                <w:rFonts w:ascii="Lato" w:eastAsia="Times New Roman" w:hAnsi="Lato" w:cs="Arial"/>
                <w:lang w:eastAsia="pl-PL"/>
              </w:rPr>
              <w:t xml:space="preserve"> – w przypadku zabiegu rewizyjnej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stawu biodrowego,</w:t>
            </w:r>
          </w:p>
          <w:p w14:paraId="5E8A6905" w14:textId="68E00F4B" w:rsidR="00D90CD1" w:rsidRPr="008E3330"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p) datę i identyfikator </w:t>
            </w:r>
            <w:r w:rsidRPr="008E3330">
              <w:rPr>
                <w:rFonts w:ascii="Lato" w:eastAsia="Times New Roman" w:hAnsi="Lato" w:cs="Arial"/>
                <w:lang w:eastAsia="pl-PL"/>
              </w:rPr>
              <w:t>usługodawcy, który wykonał zabieg pierwotnej</w:t>
            </w:r>
            <w:r w:rsidR="00175264" w:rsidRPr="008E3330">
              <w:rPr>
                <w:rFonts w:ascii="Lato" w:eastAsia="Times New Roman" w:hAnsi="Lato" w:cs="Arial"/>
                <w:lang w:eastAsia="pl-PL"/>
              </w:rPr>
              <w:t xml:space="preserve"> </w:t>
            </w:r>
            <w:r w:rsidRPr="008E3330">
              <w:rPr>
                <w:rFonts w:ascii="Lato" w:eastAsia="Times New Roman" w:hAnsi="Lato" w:cs="Arial"/>
                <w:lang w:eastAsia="pl-PL"/>
              </w:rPr>
              <w:t>endoprotezoplastyki operowanego stawu, którego dotyczy świadczenie opieki</w:t>
            </w:r>
            <w:r w:rsidR="00C91076" w:rsidRPr="008E3330">
              <w:rPr>
                <w:rFonts w:ascii="Lato" w:eastAsia="Times New Roman" w:hAnsi="Lato" w:cs="Arial"/>
                <w:lang w:eastAsia="pl-PL"/>
              </w:rPr>
              <w:t xml:space="preserve"> </w:t>
            </w:r>
            <w:r w:rsidRPr="008E3330">
              <w:rPr>
                <w:rFonts w:ascii="Lato" w:eastAsia="Times New Roman" w:hAnsi="Lato" w:cs="Arial"/>
                <w:lang w:eastAsia="pl-PL"/>
              </w:rPr>
              <w:t xml:space="preserve">zdrowotnej, o którym mowa w § </w:t>
            </w:r>
            <w:r w:rsidR="008E3330" w:rsidRPr="008E3330">
              <w:rPr>
                <w:rFonts w:ascii="Lato" w:eastAsia="Times New Roman" w:hAnsi="Lato" w:cs="Arial"/>
                <w:lang w:eastAsia="pl-PL"/>
              </w:rPr>
              <w:t>6</w:t>
            </w:r>
            <w:r w:rsidRPr="008E3330">
              <w:rPr>
                <w:rFonts w:ascii="Lato" w:eastAsia="Times New Roman" w:hAnsi="Lato" w:cs="Arial"/>
                <w:lang w:eastAsia="pl-PL"/>
              </w:rPr>
              <w:t xml:space="preserve"> pkt 1 – w przypadku zabiegu rewizyjnej</w:t>
            </w:r>
            <w:r w:rsidR="007D61E9" w:rsidRPr="008E3330">
              <w:rPr>
                <w:rFonts w:ascii="Lato" w:eastAsia="Times New Roman" w:hAnsi="Lato" w:cs="Arial"/>
                <w:lang w:eastAsia="pl-PL"/>
              </w:rPr>
              <w:t xml:space="preserve"> </w:t>
            </w:r>
            <w:r w:rsidRPr="008E3330">
              <w:rPr>
                <w:rFonts w:ascii="Lato" w:eastAsia="Times New Roman" w:hAnsi="Lato" w:cs="Arial"/>
                <w:lang w:eastAsia="pl-PL"/>
              </w:rPr>
              <w:t>endoprotezoplastyki,</w:t>
            </w:r>
          </w:p>
          <w:p w14:paraId="34ECC57B" w14:textId="30CF8D74" w:rsidR="00D90CD1" w:rsidRPr="00C65A72" w:rsidRDefault="00D90CD1" w:rsidP="007D61E9">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q) oś kończyny – w przypadku zabiegu pierwotnej endoprotezoplastyki i zabiegu</w:t>
            </w:r>
            <w:r w:rsidR="007D61E9" w:rsidRPr="008E3330">
              <w:rPr>
                <w:rFonts w:ascii="Lato" w:eastAsia="Times New Roman" w:hAnsi="Lato" w:cs="Arial"/>
                <w:lang w:eastAsia="pl-PL"/>
              </w:rPr>
              <w:t xml:space="preserve"> </w:t>
            </w:r>
            <w:r w:rsidRPr="008E3330">
              <w:rPr>
                <w:rFonts w:ascii="Lato" w:eastAsia="Times New Roman" w:hAnsi="Lato" w:cs="Arial"/>
                <w:lang w:eastAsia="pl-PL"/>
              </w:rPr>
              <w:t>rewizyjnej endoprotezoplastyki</w:t>
            </w:r>
            <w:r w:rsidRPr="00C65A72">
              <w:rPr>
                <w:rFonts w:ascii="Lato" w:eastAsia="Times New Roman" w:hAnsi="Lato" w:cs="Arial"/>
                <w:lang w:eastAsia="pl-PL"/>
              </w:rPr>
              <w:t xml:space="preserve"> stawu kolanowego,</w:t>
            </w:r>
          </w:p>
          <w:p w14:paraId="6E6953AA" w14:textId="724B19DC"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r) użyte przeszczepy – w przypadku zabiegu pierwotnej endoprotezoplastyki i zabiegu</w:t>
            </w:r>
            <w:r w:rsidR="007D61E9">
              <w:rPr>
                <w:rFonts w:ascii="Lato" w:eastAsia="Times New Roman" w:hAnsi="Lato" w:cs="Arial"/>
                <w:lang w:eastAsia="pl-PL"/>
              </w:rPr>
              <w:t xml:space="preserve"> r</w:t>
            </w:r>
            <w:r w:rsidRPr="00C65A72">
              <w:rPr>
                <w:rFonts w:ascii="Lato" w:eastAsia="Times New Roman" w:hAnsi="Lato" w:cs="Arial"/>
                <w:lang w:eastAsia="pl-PL"/>
              </w:rPr>
              <w:t>ewizyjnej endoprotezoplastyki stawu biodrowego i stawu kolanowego,</w:t>
            </w:r>
          </w:p>
          <w:p w14:paraId="59BB81CA"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s) informacje o powikłaniach po zabiegu endoprotezoplastyki w trakcie hospitalizacji</w:t>
            </w:r>
          </w:p>
          <w:p w14:paraId="096F04EB"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obejmujące:</w:t>
            </w:r>
          </w:p>
          <w:p w14:paraId="031C5962"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rodzaj,</w:t>
            </w:r>
          </w:p>
          <w:p w14:paraId="719DA5F1"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datę wystąpienia,</w:t>
            </w:r>
          </w:p>
          <w:p w14:paraId="47F4083D"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zastosowane leczenie,</w:t>
            </w:r>
          </w:p>
          <w:p w14:paraId="53DEFB17" w14:textId="4C578391" w:rsidR="00D90CD1" w:rsidRPr="008E3330"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t) wynik badania bakteriologicznego po </w:t>
            </w:r>
            <w:proofErr w:type="spellStart"/>
            <w:r w:rsidRPr="00D90CD1">
              <w:rPr>
                <w:rFonts w:ascii="Lato" w:eastAsia="Times New Roman" w:hAnsi="Lato" w:cs="Arial"/>
                <w:lang w:eastAsia="pl-PL"/>
              </w:rPr>
              <w:t>sonikacji</w:t>
            </w:r>
            <w:proofErr w:type="spellEnd"/>
            <w:r w:rsidRPr="00D90CD1">
              <w:rPr>
                <w:rFonts w:ascii="Lato" w:eastAsia="Times New Roman" w:hAnsi="Lato" w:cs="Arial"/>
                <w:lang w:eastAsia="pl-PL"/>
              </w:rPr>
              <w:t xml:space="preserve"> usuniętej endoprotezy, jeżeli badanie</w:t>
            </w:r>
            <w:r w:rsidR="007D61E9">
              <w:rPr>
                <w:rFonts w:ascii="Lato" w:eastAsia="Times New Roman" w:hAnsi="Lato" w:cs="Arial"/>
                <w:lang w:eastAsia="pl-PL"/>
              </w:rPr>
              <w:t xml:space="preserve"> </w:t>
            </w:r>
            <w:r w:rsidRPr="00C65A72">
              <w:rPr>
                <w:rFonts w:ascii="Lato" w:eastAsia="Times New Roman" w:hAnsi="Lato" w:cs="Arial"/>
                <w:lang w:eastAsia="pl-PL"/>
              </w:rPr>
              <w:t xml:space="preserve">takie </w:t>
            </w:r>
            <w:r w:rsidRPr="008E3330">
              <w:rPr>
                <w:rFonts w:ascii="Lato" w:eastAsia="Times New Roman" w:hAnsi="Lato" w:cs="Arial"/>
                <w:lang w:eastAsia="pl-PL"/>
              </w:rPr>
              <w:t>przeprowadzono,</w:t>
            </w:r>
          </w:p>
          <w:p w14:paraId="18510E5C" w14:textId="7C24C98C" w:rsidR="00D90CD1" w:rsidRPr="008E3330" w:rsidRDefault="00D90CD1" w:rsidP="007D61E9">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u) informacje o efektach klinicznych i jakościowych świadczenia opieki zdrowotnej,</w:t>
            </w:r>
            <w:r w:rsidR="007D61E9" w:rsidRPr="008E3330">
              <w:rPr>
                <w:rFonts w:ascii="Lato" w:eastAsia="Times New Roman" w:hAnsi="Lato" w:cs="Arial"/>
                <w:lang w:eastAsia="pl-PL"/>
              </w:rPr>
              <w:t xml:space="preserve"> </w:t>
            </w:r>
            <w:r w:rsidRPr="008E3330">
              <w:rPr>
                <w:rFonts w:ascii="Lato" w:eastAsia="Times New Roman" w:hAnsi="Lato" w:cs="Arial"/>
                <w:lang w:eastAsia="pl-PL"/>
              </w:rPr>
              <w:t xml:space="preserve">o którym mowa w § </w:t>
            </w:r>
            <w:r w:rsidR="008E3330" w:rsidRPr="008E3330">
              <w:rPr>
                <w:rFonts w:ascii="Lato" w:eastAsia="Times New Roman" w:hAnsi="Lato" w:cs="Arial"/>
                <w:lang w:eastAsia="pl-PL"/>
              </w:rPr>
              <w:t>6</w:t>
            </w:r>
            <w:r w:rsidRPr="008E3330">
              <w:rPr>
                <w:rFonts w:ascii="Lato" w:eastAsia="Times New Roman" w:hAnsi="Lato" w:cs="Arial"/>
                <w:lang w:eastAsia="pl-PL"/>
              </w:rPr>
              <w:t xml:space="preserve"> pkt 1,</w:t>
            </w:r>
          </w:p>
          <w:p w14:paraId="78A08E40"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8E3330">
              <w:rPr>
                <w:rFonts w:ascii="Lato" w:eastAsia="Times New Roman" w:hAnsi="Lato" w:cs="Arial"/>
                <w:lang w:eastAsia="pl-PL"/>
              </w:rPr>
              <w:t>v) informacje zawarte w skierowaniu</w:t>
            </w:r>
            <w:r w:rsidRPr="00D90CD1">
              <w:rPr>
                <w:rFonts w:ascii="Lato" w:eastAsia="Times New Roman" w:hAnsi="Lato" w:cs="Arial"/>
                <w:lang w:eastAsia="pl-PL"/>
              </w:rPr>
              <w:t xml:space="preserve"> na zabieg endoprotezoplastyki:</w:t>
            </w:r>
          </w:p>
          <w:p w14:paraId="427E1B3F"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rozpoznanie według wybranej i obowiązującej w rejestrze klasyfikacji,</w:t>
            </w:r>
          </w:p>
          <w:p w14:paraId="7AE80C3C"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uzasadnienie skierowania,</w:t>
            </w:r>
          </w:p>
          <w:p w14:paraId="332A5D86"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datę wystawienia skierowania,</w:t>
            </w:r>
          </w:p>
          <w:p w14:paraId="2B7A677A" w14:textId="75149D60"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 identyfikator pracownika medycznego, o którym mowa w art. 17c ust. 5 </w:t>
            </w:r>
            <w:proofErr w:type="spellStart"/>
            <w:r w:rsidRPr="00D90CD1">
              <w:rPr>
                <w:rFonts w:ascii="Lato" w:eastAsia="Times New Roman" w:hAnsi="Lato" w:cs="Arial"/>
                <w:lang w:eastAsia="pl-PL"/>
              </w:rPr>
              <w:t>ustawy,</w:t>
            </w:r>
            <w:r w:rsidRPr="00C65A72">
              <w:rPr>
                <w:rFonts w:ascii="Lato" w:eastAsia="Times New Roman" w:hAnsi="Lato" w:cs="Arial"/>
                <w:lang w:eastAsia="pl-PL"/>
              </w:rPr>
              <w:t>który</w:t>
            </w:r>
            <w:proofErr w:type="spellEnd"/>
            <w:r w:rsidRPr="00C65A72">
              <w:rPr>
                <w:rFonts w:ascii="Lato" w:eastAsia="Times New Roman" w:hAnsi="Lato" w:cs="Arial"/>
                <w:lang w:eastAsia="pl-PL"/>
              </w:rPr>
              <w:t xml:space="preserve"> wystawił skierowanie,</w:t>
            </w:r>
          </w:p>
          <w:p w14:paraId="064A3FCD" w14:textId="66C99011"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w) informacje o użyciu ramienia </w:t>
            </w:r>
            <w:proofErr w:type="spellStart"/>
            <w:r w:rsidRPr="00D90CD1">
              <w:rPr>
                <w:rFonts w:ascii="Lato" w:eastAsia="Times New Roman" w:hAnsi="Lato" w:cs="Arial"/>
                <w:lang w:eastAsia="pl-PL"/>
              </w:rPr>
              <w:t>robotycznego</w:t>
            </w:r>
            <w:proofErr w:type="spellEnd"/>
            <w:r w:rsidRPr="00D90CD1">
              <w:rPr>
                <w:rFonts w:ascii="Lato" w:eastAsia="Times New Roman" w:hAnsi="Lato" w:cs="Arial"/>
                <w:lang w:eastAsia="pl-PL"/>
              </w:rPr>
              <w:t xml:space="preserve"> lub nawigacji w przypadku zabiegu</w:t>
            </w:r>
            <w:r w:rsidR="007D61E9">
              <w:rPr>
                <w:rFonts w:ascii="Lato" w:eastAsia="Times New Roman" w:hAnsi="Lato" w:cs="Arial"/>
                <w:lang w:eastAsia="pl-PL"/>
              </w:rPr>
              <w:t xml:space="preserve"> </w:t>
            </w:r>
            <w:r w:rsidRPr="00C65A72">
              <w:rPr>
                <w:rFonts w:ascii="Lato" w:eastAsia="Times New Roman" w:hAnsi="Lato" w:cs="Arial"/>
                <w:lang w:eastAsia="pl-PL"/>
              </w:rPr>
              <w:t xml:space="preserve">pierwotnej endoprotezoplastyki i zabiegu </w:t>
            </w:r>
            <w:r w:rsidRPr="00C65A72">
              <w:rPr>
                <w:rFonts w:ascii="Lato" w:eastAsia="Times New Roman" w:hAnsi="Lato" w:cs="Arial"/>
                <w:lang w:eastAsia="pl-PL"/>
              </w:rPr>
              <w:lastRenderedPageBreak/>
              <w:t>rewizyjnej endoprotezoplastyki stawu</w:t>
            </w:r>
            <w:r w:rsidR="007D61E9">
              <w:rPr>
                <w:rFonts w:ascii="Lato" w:eastAsia="Times New Roman" w:hAnsi="Lato" w:cs="Arial"/>
                <w:lang w:eastAsia="pl-PL"/>
              </w:rPr>
              <w:t xml:space="preserve"> </w:t>
            </w:r>
            <w:r w:rsidRPr="00C65A72">
              <w:rPr>
                <w:rFonts w:ascii="Lato" w:eastAsia="Times New Roman" w:hAnsi="Lato" w:cs="Arial"/>
                <w:lang w:eastAsia="pl-PL"/>
              </w:rPr>
              <w:t>biodrowego i stawu kolanowego;</w:t>
            </w:r>
          </w:p>
          <w:p w14:paraId="697E5DB5"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4) identyfikator usługodawcy, o którym mowa w art. 17c ust. 3 pkt 1 ustawy;</w:t>
            </w:r>
          </w:p>
          <w:p w14:paraId="6CC66D20" w14:textId="1225F60E"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5) identyfikator miejsca udzielania świadczeń opieki zdrowotnej, o którym mowa w art. 17c</w:t>
            </w:r>
            <w:r w:rsidR="007D61E9">
              <w:rPr>
                <w:rFonts w:ascii="Lato" w:eastAsia="Times New Roman" w:hAnsi="Lato" w:cs="Arial"/>
                <w:lang w:eastAsia="pl-PL"/>
              </w:rPr>
              <w:t xml:space="preserve"> </w:t>
            </w:r>
            <w:r w:rsidRPr="00C65A72">
              <w:rPr>
                <w:rFonts w:ascii="Lato" w:eastAsia="Times New Roman" w:hAnsi="Lato" w:cs="Arial"/>
                <w:lang w:eastAsia="pl-PL"/>
              </w:rPr>
              <w:t>ust. 4 pkt 1 ustawy;</w:t>
            </w:r>
          </w:p>
          <w:p w14:paraId="1355564B"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6) identyfikator pracownika medycznego, o którym mowa w art. 17c ust. 5 ustawy, który:</w:t>
            </w:r>
          </w:p>
          <w:p w14:paraId="4BDC43DA"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a) wprowadził dane do rejestru,</w:t>
            </w:r>
          </w:p>
          <w:p w14:paraId="5C23DC68"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b) wystawił skierowanie na zabieg endoprotezoplastyki,</w:t>
            </w:r>
          </w:p>
          <w:p w14:paraId="4F3EB39B" w14:textId="66CB764B" w:rsidR="00D90CD1" w:rsidRPr="00C65A72"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c) wykonał dane świadczenie opieki zdrowotnej.</w:t>
            </w:r>
          </w:p>
        </w:tc>
      </w:tr>
      <w:tr w:rsidR="00411025" w14:paraId="587108C1" w14:textId="77777777">
        <w:trPr>
          <w:trHeight w:val="841"/>
        </w:trPr>
        <w:tc>
          <w:tcPr>
            <w:tcW w:w="615" w:type="dxa"/>
            <w:vAlign w:val="center"/>
          </w:tcPr>
          <w:p w14:paraId="6444B2EB"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5</w:t>
            </w:r>
          </w:p>
        </w:tc>
        <w:tc>
          <w:tcPr>
            <w:tcW w:w="2586" w:type="dxa"/>
            <w:gridSpan w:val="3"/>
            <w:vAlign w:val="center"/>
          </w:tcPr>
          <w:p w14:paraId="3A90D908" w14:textId="77777777" w:rsidR="00411025" w:rsidRDefault="00411025" w:rsidP="00411025">
            <w:pPr>
              <w:pStyle w:val="Akapitzlist"/>
              <w:spacing w:after="0" w:line="240" w:lineRule="auto"/>
              <w:ind w:left="6"/>
              <w:rPr>
                <w:rFonts w:ascii="Lato" w:hAnsi="Lato" w:cs="Arial"/>
                <w:bCs/>
              </w:rPr>
            </w:pPr>
            <w:r>
              <w:rPr>
                <w:rFonts w:ascii="Lato" w:hAnsi="Lato" w:cs="Arial"/>
                <w:bCs/>
              </w:rPr>
              <w:t>Zasoby, z którymi będą miały styczność dane osobowe (jeśli znane)</w:t>
            </w:r>
            <w:r>
              <w:rPr>
                <w:rStyle w:val="Odwoanieprzypisudolnego"/>
                <w:rFonts w:ascii="Lato" w:hAnsi="Lato" w:cs="Arial"/>
                <w:bCs/>
              </w:rPr>
              <w:footnoteReference w:id="12"/>
            </w:r>
          </w:p>
        </w:tc>
        <w:tc>
          <w:tcPr>
            <w:tcW w:w="6514" w:type="dxa"/>
            <w:gridSpan w:val="7"/>
            <w:vAlign w:val="center"/>
          </w:tcPr>
          <w:p w14:paraId="61E2E4D1" w14:textId="085C3F46" w:rsidR="00411025" w:rsidRDefault="00411025" w:rsidP="00411025">
            <w:pPr>
              <w:pStyle w:val="Akapitzlist"/>
              <w:spacing w:after="0" w:line="240" w:lineRule="auto"/>
              <w:ind w:left="70"/>
              <w:jc w:val="both"/>
              <w:rPr>
                <w:rFonts w:ascii="Lato" w:hAnsi="Lato" w:cs="Arial"/>
              </w:rPr>
            </w:pPr>
            <w:r w:rsidRPr="00672C41">
              <w:rPr>
                <w:rFonts w:ascii="Lato" w:hAnsi="Lato" w:cs="Arial"/>
              </w:rPr>
              <w:t>sprzęt komputerowy, oprogramowanie, sieci, osoby, opracowania lub kanały transmisji, systemy teleinformatyczne.</w:t>
            </w:r>
          </w:p>
        </w:tc>
      </w:tr>
      <w:tr w:rsidR="00411025" w14:paraId="2161EDFF" w14:textId="77777777">
        <w:trPr>
          <w:trHeight w:val="709"/>
        </w:trPr>
        <w:tc>
          <w:tcPr>
            <w:tcW w:w="615" w:type="dxa"/>
            <w:vAlign w:val="center"/>
          </w:tcPr>
          <w:p w14:paraId="0369C45C"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6</w:t>
            </w:r>
          </w:p>
        </w:tc>
        <w:tc>
          <w:tcPr>
            <w:tcW w:w="2586" w:type="dxa"/>
            <w:gridSpan w:val="3"/>
            <w:vAlign w:val="center"/>
          </w:tcPr>
          <w:p w14:paraId="0B9EB4A6" w14:textId="77777777" w:rsidR="00411025" w:rsidRDefault="00411025" w:rsidP="00411025">
            <w:pPr>
              <w:pStyle w:val="Akapitzlist"/>
              <w:spacing w:after="0" w:line="240" w:lineRule="auto"/>
              <w:ind w:left="6"/>
              <w:rPr>
                <w:rFonts w:ascii="Lato" w:hAnsi="Lato" w:cs="Arial"/>
                <w:bCs/>
              </w:rPr>
            </w:pPr>
            <w:r>
              <w:rPr>
                <w:rFonts w:ascii="Lato" w:hAnsi="Lato" w:cs="Arial"/>
                <w:bCs/>
              </w:rPr>
              <w:t>Informacja o odbiorcach danych osobowych</w:t>
            </w:r>
            <w:r>
              <w:rPr>
                <w:rStyle w:val="Odwoanieprzypisudolnego"/>
                <w:rFonts w:ascii="Lato" w:hAnsi="Lato" w:cs="Arial"/>
                <w:bCs/>
              </w:rPr>
              <w:footnoteReference w:id="13"/>
            </w:r>
          </w:p>
        </w:tc>
        <w:tc>
          <w:tcPr>
            <w:tcW w:w="6514" w:type="dxa"/>
            <w:gridSpan w:val="7"/>
            <w:vAlign w:val="center"/>
          </w:tcPr>
          <w:p w14:paraId="6284F2C2" w14:textId="33C2F116" w:rsidR="00411025" w:rsidRDefault="00411025" w:rsidP="00411025">
            <w:pPr>
              <w:pStyle w:val="Akapitzlist"/>
              <w:spacing w:after="0" w:line="240" w:lineRule="auto"/>
              <w:ind w:left="70"/>
              <w:jc w:val="both"/>
              <w:rPr>
                <w:rFonts w:ascii="Lato" w:hAnsi="Lato" w:cs="Arial"/>
              </w:rPr>
            </w:pPr>
            <w:r>
              <w:rPr>
                <w:rFonts w:ascii="Lato" w:hAnsi="Lato" w:cs="Arial"/>
              </w:rPr>
              <w:t xml:space="preserve">Narodowy Fundusz Zdrowia </w:t>
            </w:r>
          </w:p>
        </w:tc>
      </w:tr>
      <w:tr w:rsidR="00411025" w14:paraId="7798B66D" w14:textId="77777777">
        <w:trPr>
          <w:trHeight w:val="690"/>
        </w:trPr>
        <w:tc>
          <w:tcPr>
            <w:tcW w:w="615" w:type="dxa"/>
            <w:vAlign w:val="center"/>
          </w:tcPr>
          <w:p w14:paraId="44F40A3B"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7</w:t>
            </w:r>
          </w:p>
        </w:tc>
        <w:tc>
          <w:tcPr>
            <w:tcW w:w="2586" w:type="dxa"/>
            <w:gridSpan w:val="3"/>
            <w:vAlign w:val="center"/>
          </w:tcPr>
          <w:p w14:paraId="613954EB" w14:textId="77777777" w:rsidR="00411025" w:rsidRPr="008E3330" w:rsidRDefault="00411025" w:rsidP="00411025">
            <w:pPr>
              <w:pStyle w:val="Akapitzlist"/>
              <w:spacing w:after="0" w:line="240" w:lineRule="auto"/>
              <w:ind w:left="6"/>
              <w:rPr>
                <w:rFonts w:ascii="Lato" w:hAnsi="Lato" w:cs="Arial"/>
                <w:bCs/>
              </w:rPr>
            </w:pPr>
            <w:r w:rsidRPr="008E3330">
              <w:rPr>
                <w:rFonts w:ascii="Lato" w:hAnsi="Lato" w:cs="Arial"/>
                <w:bCs/>
              </w:rPr>
              <w:t>Okres przechowywania danych osobowych</w:t>
            </w:r>
            <w:r w:rsidRPr="008E3330">
              <w:rPr>
                <w:rStyle w:val="Odwoanieprzypisudolnego"/>
                <w:rFonts w:ascii="Lato" w:hAnsi="Lato" w:cs="Arial"/>
                <w:bCs/>
              </w:rPr>
              <w:footnoteReference w:id="14"/>
            </w:r>
          </w:p>
        </w:tc>
        <w:tc>
          <w:tcPr>
            <w:tcW w:w="6514" w:type="dxa"/>
            <w:gridSpan w:val="7"/>
            <w:vAlign w:val="center"/>
          </w:tcPr>
          <w:p w14:paraId="6F7BB341" w14:textId="0E9B6D2E" w:rsidR="00411025" w:rsidRPr="008E3330" w:rsidRDefault="00042A6D" w:rsidP="00411025">
            <w:pPr>
              <w:pStyle w:val="Akapitzlist"/>
              <w:spacing w:after="0" w:line="240" w:lineRule="auto"/>
              <w:ind w:left="70"/>
              <w:jc w:val="both"/>
              <w:rPr>
                <w:rFonts w:ascii="Lato" w:hAnsi="Lato" w:cs="Arial"/>
              </w:rPr>
            </w:pPr>
            <w:r w:rsidRPr="008E3330">
              <w:rPr>
                <w:rFonts w:ascii="Lato" w:hAnsi="Lato" w:cs="Arial"/>
              </w:rPr>
              <w:t>Kryteria ustalenia okresu przechowywania danych osobowych zawartych w rejestrze endoprotezoplastyk zostały ustalone w oparciu o zasadę wyrażoną  w art. 5 ust. 1 lit. e RODO. Zgodnie z przyjętym założeniem dane będą przechowywane w formie umożliwiającej identyfikację osoby, której dane dotyczą przez okres nie dłuższy, niż jest to niezbędne do celów prowadzenia rejestru. Dane osobowe będą przechowywane przez okres dłuższy, gdy będą przetwarzane do celów archiwalnych w interesie publicznym, do celów badań naukowych lub historycznych lub do celów statystycznych na mocy art. 89 ust. 1, z zastrzeżeniem że wdrożone zostaną odpowiednie środki techniczne i organizacyjne wymagane na mocy niniejszego rozporządzenia w celu ochrony praw i wolności osób, których dane dotyczą (,,ograniczenie przechowywania'').</w:t>
            </w:r>
          </w:p>
        </w:tc>
      </w:tr>
      <w:tr w:rsidR="00411025" w14:paraId="4ECE4793" w14:textId="77777777">
        <w:trPr>
          <w:trHeight w:val="700"/>
        </w:trPr>
        <w:tc>
          <w:tcPr>
            <w:tcW w:w="615" w:type="dxa"/>
            <w:vAlign w:val="center"/>
          </w:tcPr>
          <w:p w14:paraId="389B7081"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8</w:t>
            </w:r>
          </w:p>
        </w:tc>
        <w:tc>
          <w:tcPr>
            <w:tcW w:w="2586" w:type="dxa"/>
            <w:gridSpan w:val="3"/>
            <w:vAlign w:val="center"/>
          </w:tcPr>
          <w:p w14:paraId="3E37D6E9" w14:textId="77777777" w:rsidR="00411025" w:rsidRDefault="00411025" w:rsidP="00411025">
            <w:pPr>
              <w:pStyle w:val="Akapitzlist"/>
              <w:spacing w:after="0" w:line="240" w:lineRule="auto"/>
              <w:ind w:left="6"/>
              <w:rPr>
                <w:rFonts w:ascii="Lato" w:hAnsi="Lato" w:cs="Arial"/>
                <w:bCs/>
              </w:rPr>
            </w:pPr>
            <w:r>
              <w:rPr>
                <w:rFonts w:ascii="Lato" w:hAnsi="Lato" w:cs="Arial"/>
                <w:bCs/>
              </w:rPr>
              <w:t>Cel operacji przetwarzania</w:t>
            </w:r>
            <w:r>
              <w:rPr>
                <w:rStyle w:val="Odwoanieprzypisudolnego"/>
                <w:rFonts w:ascii="Lato" w:hAnsi="Lato" w:cs="Arial"/>
                <w:bCs/>
              </w:rPr>
              <w:footnoteReference w:id="15"/>
            </w:r>
          </w:p>
        </w:tc>
        <w:tc>
          <w:tcPr>
            <w:tcW w:w="6514" w:type="dxa"/>
            <w:gridSpan w:val="7"/>
            <w:vAlign w:val="center"/>
          </w:tcPr>
          <w:p w14:paraId="7F3C7E82" w14:textId="29E9DD36" w:rsidR="00411025" w:rsidRDefault="00411025" w:rsidP="00411025">
            <w:pPr>
              <w:pStyle w:val="Akapitzlist"/>
              <w:spacing w:after="0" w:line="240" w:lineRule="auto"/>
              <w:ind w:left="70"/>
              <w:jc w:val="both"/>
              <w:rPr>
                <w:rFonts w:ascii="Lato" w:hAnsi="Lato" w:cs="Arial"/>
              </w:rPr>
            </w:pPr>
            <w:r>
              <w:rPr>
                <w:rFonts w:ascii="Lato" w:hAnsi="Lato" w:cs="Arial"/>
              </w:rPr>
              <w:t xml:space="preserve">Przetwarzanie danych </w:t>
            </w:r>
            <w:r w:rsidRPr="00672C41">
              <w:rPr>
                <w:rFonts w:ascii="Lato" w:hAnsi="Lato" w:cs="Arial"/>
              </w:rPr>
              <w:t xml:space="preserve">wynika z konieczności zapewnienia systematycznego procesu monitorowania danych dotyczących endoprotezoplastyk i kontynuacji prowadzenia ustrukturyzowanego systemu, co umożliwi monitorowanie zapotrzebowania na endoprotezoplastykę pierwotną, informacji o zabiegach rewizyjnych, a także bardziej racjonalne projektowanie wydatków przeznaczanych na ten cel. </w:t>
            </w:r>
            <w:r>
              <w:rPr>
                <w:rFonts w:ascii="Lato" w:hAnsi="Lato" w:cs="Arial"/>
              </w:rPr>
              <w:t xml:space="preserve">Ponadto gromadzone dane  </w:t>
            </w:r>
            <w:r w:rsidRPr="00B11EA0">
              <w:rPr>
                <w:rFonts w:ascii="Lato" w:hAnsi="Lato" w:cs="Arial"/>
              </w:rPr>
              <w:t>pozwol</w:t>
            </w:r>
            <w:r>
              <w:rPr>
                <w:rFonts w:ascii="Lato" w:hAnsi="Lato" w:cs="Arial"/>
              </w:rPr>
              <w:t xml:space="preserve">ą </w:t>
            </w:r>
            <w:r w:rsidRPr="00B11EA0">
              <w:rPr>
                <w:rFonts w:ascii="Lato" w:hAnsi="Lato" w:cs="Arial"/>
              </w:rPr>
              <w:t xml:space="preserve">monitorować wydajność wszczepionych implantów i skuteczność różnych typów operacji, poprawiając standardy </w:t>
            </w:r>
            <w:r w:rsidRPr="00B11EA0">
              <w:rPr>
                <w:rFonts w:ascii="Lato" w:hAnsi="Lato" w:cs="Arial"/>
              </w:rPr>
              <w:lastRenderedPageBreak/>
              <w:t>kliniczne i przynosząc korzyści pacjentom, klinicystom i całemu sektorowi ortopedii.</w:t>
            </w:r>
          </w:p>
        </w:tc>
      </w:tr>
      <w:tr w:rsidR="00411025" w14:paraId="4A9C47F6" w14:textId="77777777">
        <w:trPr>
          <w:trHeight w:val="841"/>
        </w:trPr>
        <w:tc>
          <w:tcPr>
            <w:tcW w:w="615" w:type="dxa"/>
            <w:vAlign w:val="center"/>
          </w:tcPr>
          <w:p w14:paraId="5A9CA01A"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9</w:t>
            </w:r>
          </w:p>
        </w:tc>
        <w:tc>
          <w:tcPr>
            <w:tcW w:w="2586" w:type="dxa"/>
            <w:gridSpan w:val="3"/>
            <w:vAlign w:val="center"/>
          </w:tcPr>
          <w:p w14:paraId="45B6ED25" w14:textId="77777777" w:rsidR="00411025" w:rsidRDefault="00411025" w:rsidP="00411025">
            <w:pPr>
              <w:pStyle w:val="Akapitzlist"/>
              <w:spacing w:after="0" w:line="240" w:lineRule="auto"/>
              <w:ind w:left="6"/>
              <w:rPr>
                <w:rFonts w:ascii="Lato" w:hAnsi="Lato" w:cs="Arial"/>
                <w:bCs/>
              </w:rPr>
            </w:pPr>
            <w:r>
              <w:rPr>
                <w:rFonts w:ascii="Lato" w:hAnsi="Lato" w:cs="Arial"/>
                <w:bCs/>
              </w:rPr>
              <w:t>Ocena niezbędności oraz proporcjonalności</w:t>
            </w:r>
            <w:r>
              <w:rPr>
                <w:rStyle w:val="Odwoanieprzypisudolnego"/>
                <w:rFonts w:ascii="Lato" w:hAnsi="Lato" w:cs="Arial"/>
                <w:bCs/>
              </w:rPr>
              <w:footnoteReference w:id="16"/>
            </w:r>
          </w:p>
        </w:tc>
        <w:tc>
          <w:tcPr>
            <w:tcW w:w="6514" w:type="dxa"/>
            <w:gridSpan w:val="7"/>
            <w:vAlign w:val="center"/>
          </w:tcPr>
          <w:p w14:paraId="3152248B" w14:textId="290EBF2D" w:rsidR="003B6C36" w:rsidRDefault="00042A6D" w:rsidP="00411025">
            <w:pPr>
              <w:spacing w:line="240" w:lineRule="auto"/>
              <w:jc w:val="both"/>
              <w:rPr>
                <w:rFonts w:ascii="Lato" w:hAnsi="Lato" w:cs="Arial"/>
              </w:rPr>
            </w:pPr>
            <w:r>
              <w:rPr>
                <w:rFonts w:ascii="Lato" w:hAnsi="Lato" w:cs="Arial"/>
              </w:rPr>
              <w:t>Należy wskazać, iż zakres danych przetwarzanych zgodnie z projektowanym rozporządzeniem został poddany analizie oraz jest adekwatny do celu, w jakim rozporządzenie ma wejść w życie. W ramach procesu przetwarzania wy</w:t>
            </w:r>
            <w:r w:rsidR="00696738">
              <w:rPr>
                <w:rFonts w:ascii="Lato" w:hAnsi="Lato" w:cs="Arial"/>
              </w:rPr>
              <w:t>kreowanego przepisami ww. rozporządzenia</w:t>
            </w:r>
            <w:r w:rsidR="00E0141C">
              <w:rPr>
                <w:rFonts w:ascii="Lato" w:hAnsi="Lato" w:cs="Arial"/>
              </w:rPr>
              <w:t>,</w:t>
            </w:r>
            <w:r w:rsidR="00696738">
              <w:rPr>
                <w:rFonts w:ascii="Lato" w:hAnsi="Lato" w:cs="Arial"/>
              </w:rPr>
              <w:t xml:space="preserve"> nie będą przetwarzane dane nadmiarowe lub dane, których przetwarzanie nie jest uzasadnione</w:t>
            </w:r>
            <w:r w:rsidR="003B6C36">
              <w:rPr>
                <w:rFonts w:ascii="Lato" w:hAnsi="Lato" w:cs="Arial"/>
              </w:rPr>
              <w:t xml:space="preserve">, mając na uwadze konieczność zapewnienia proporcjonalności zakresu i rodzaju danych przetwarzanych w rejestrze z celami utworzenia rejestru. </w:t>
            </w:r>
            <w:r w:rsidR="00CF3424">
              <w:rPr>
                <w:rFonts w:ascii="Lato" w:hAnsi="Lato" w:cs="Arial"/>
              </w:rPr>
              <w:t xml:space="preserve">Z uwagi na powyższe projektodawca kierował się wytycznymi określonymi w przepisach prawa w szczególności art. 4 ust. 3 oraz art. 19-20 ustawy z dnia 28 kwietnia 2011 r. o systemie informacji w ochronie zdrowia. </w:t>
            </w:r>
            <w:r w:rsidR="00E0141C">
              <w:rPr>
                <w:rFonts w:ascii="Lato" w:hAnsi="Lato" w:cs="Arial"/>
              </w:rPr>
              <w:t xml:space="preserve">Należy podkreślić, </w:t>
            </w:r>
            <w:r w:rsidR="00CF3424">
              <w:rPr>
                <w:rFonts w:ascii="Lato" w:hAnsi="Lato" w:cs="Arial"/>
              </w:rPr>
              <w:t xml:space="preserve">że projekt rozporządzenia stanowi projekt o charakterze </w:t>
            </w:r>
            <w:proofErr w:type="spellStart"/>
            <w:r w:rsidR="00CF3424">
              <w:rPr>
                <w:rFonts w:ascii="Lato" w:hAnsi="Lato" w:cs="Arial"/>
              </w:rPr>
              <w:t>deregulacyjnym</w:t>
            </w:r>
            <w:proofErr w:type="spellEnd"/>
            <w:r w:rsidR="007B411B">
              <w:rPr>
                <w:rFonts w:ascii="Lato" w:hAnsi="Lato" w:cs="Arial"/>
              </w:rPr>
              <w:t xml:space="preserve">, </w:t>
            </w:r>
            <w:r w:rsidR="007B411B" w:rsidRPr="007B411B">
              <w:rPr>
                <w:rFonts w:ascii="Lato" w:hAnsi="Lato" w:cs="Arial"/>
              </w:rPr>
              <w:t>któr</w:t>
            </w:r>
            <w:r w:rsidR="007B411B">
              <w:rPr>
                <w:rFonts w:ascii="Lato" w:hAnsi="Lato" w:cs="Arial"/>
              </w:rPr>
              <w:t>ego proponowane przepisy</w:t>
            </w:r>
            <w:r w:rsidR="007B411B" w:rsidRPr="007B411B">
              <w:rPr>
                <w:rFonts w:ascii="Lato" w:hAnsi="Lato" w:cs="Arial"/>
              </w:rPr>
              <w:t xml:space="preserve"> pozwolą na ograniczenie raportowania do rejestru endoprotezoplastyk danych, których przetwarzanie jest niecelowe, oraz nie posiadają wartości </w:t>
            </w:r>
            <w:proofErr w:type="spellStart"/>
            <w:r w:rsidR="007B411B" w:rsidRPr="007B411B">
              <w:rPr>
                <w:rFonts w:ascii="Lato" w:hAnsi="Lato" w:cs="Arial"/>
              </w:rPr>
              <w:t>statystycznoanalitycznej</w:t>
            </w:r>
            <w:proofErr w:type="spellEnd"/>
            <w:r w:rsidR="007B411B" w:rsidRPr="007B411B">
              <w:rPr>
                <w:rFonts w:ascii="Lato" w:hAnsi="Lato" w:cs="Arial"/>
              </w:rPr>
              <w:t>, natomiast obowiązek ich raportowania powoduje przeciążenie usługodawców</w:t>
            </w:r>
            <w:r w:rsidR="007B411B">
              <w:rPr>
                <w:rFonts w:ascii="Lato" w:hAnsi="Lato" w:cs="Arial"/>
              </w:rPr>
              <w:t xml:space="preserve">. </w:t>
            </w:r>
          </w:p>
          <w:p w14:paraId="602B1A2C" w14:textId="4BCEAFCF" w:rsidR="007B411B" w:rsidRDefault="007B411B" w:rsidP="00411025">
            <w:pPr>
              <w:spacing w:line="240" w:lineRule="auto"/>
              <w:jc w:val="both"/>
              <w:rPr>
                <w:rFonts w:ascii="Lato" w:hAnsi="Lato" w:cs="Arial"/>
              </w:rPr>
            </w:pPr>
            <w:r w:rsidRPr="007B411B">
              <w:rPr>
                <w:rFonts w:ascii="Lato" w:hAnsi="Lato" w:cs="Arial"/>
              </w:rPr>
              <w:t xml:space="preserve">Rejestr w projektowanym kształcie umożliwia ocenę jakości zabiegów endoprotezoplastyki (zarówno w kontekście oceny jakości używanych implantów, jak i jakości stosowanych procedur). Na podstawie gromadzonych danych możliwe będzie określenie wskaźników jakości i efektywności, a w konsekwencji wypromowanie optymalnych i najbardziej korzystnych praktyk i rozwiązań. </w:t>
            </w:r>
          </w:p>
          <w:p w14:paraId="15B48D45" w14:textId="64945F6B" w:rsidR="00411025" w:rsidRPr="00B11EA0" w:rsidRDefault="00696738" w:rsidP="00411025">
            <w:pPr>
              <w:spacing w:line="240" w:lineRule="auto"/>
              <w:jc w:val="both"/>
              <w:rPr>
                <w:rFonts w:ascii="Lato" w:hAnsi="Lato" w:cs="Arial"/>
              </w:rPr>
            </w:pPr>
            <w:r w:rsidRPr="00696738">
              <w:rPr>
                <w:rFonts w:ascii="Lato" w:hAnsi="Lato" w:cs="Arial"/>
              </w:rPr>
              <w:t xml:space="preserve">Dane o każdym zrealizowanym wszczepie są gromadzone w utworzonym Systemie Obsługi Rejestru Endoprotezoplastyk. Ankietę wypełnia usługodawca, który realizuje zabiegi endoprotezoplastyk stawowych (zarówno świadczeniodawcy posiadający umowę z Narodowym Funduszem Zdrowia jak i </w:t>
            </w:r>
            <w:r w:rsidRPr="00696738">
              <w:rPr>
                <w:rFonts w:ascii="Lato" w:hAnsi="Lato" w:cs="Arial"/>
              </w:rPr>
              <w:lastRenderedPageBreak/>
              <w:t>podmioty komercyjne). Następnie dane to są przekazywane do Narodowego Funduszu Zdrowia i w sposób zanonimizowany publikowane w interaktywnym narzędziu.</w:t>
            </w:r>
          </w:p>
        </w:tc>
      </w:tr>
      <w:tr w:rsidR="00411025" w14:paraId="4E529B8F" w14:textId="77777777">
        <w:trPr>
          <w:trHeight w:val="841"/>
        </w:trPr>
        <w:tc>
          <w:tcPr>
            <w:tcW w:w="9715" w:type="dxa"/>
            <w:gridSpan w:val="11"/>
            <w:vAlign w:val="center"/>
          </w:tcPr>
          <w:p w14:paraId="68819589" w14:textId="77777777" w:rsidR="00411025" w:rsidRDefault="00411025" w:rsidP="00411025">
            <w:pPr>
              <w:pStyle w:val="Akapitzlist"/>
              <w:numPr>
                <w:ilvl w:val="0"/>
                <w:numId w:val="4"/>
              </w:numPr>
              <w:spacing w:after="0" w:line="240" w:lineRule="auto"/>
              <w:ind w:left="863" w:hanging="567"/>
              <w:jc w:val="both"/>
              <w:rPr>
                <w:rFonts w:ascii="Lato" w:hAnsi="Lato" w:cs="Arial"/>
                <w:b/>
              </w:rPr>
            </w:pPr>
            <w:r>
              <w:rPr>
                <w:rFonts w:ascii="Lato" w:hAnsi="Lato" w:cs="Arial"/>
                <w:b/>
              </w:rPr>
              <w:lastRenderedPageBreak/>
              <w:t>KRYTERIA KONIECZNOŚCI PRZEPROWADZENIA OCENY (ocena bezwzględnie wymagana)</w:t>
            </w:r>
            <w:r>
              <w:rPr>
                <w:rStyle w:val="Odwoanieprzypisudolnego"/>
                <w:rFonts w:ascii="Lato" w:hAnsi="Lato" w:cs="Arial"/>
                <w:b/>
              </w:rPr>
              <w:footnoteReference w:id="17"/>
            </w:r>
          </w:p>
        </w:tc>
      </w:tr>
      <w:tr w:rsidR="00411025" w14:paraId="24F5D9EF" w14:textId="77777777">
        <w:trPr>
          <w:trHeight w:val="1833"/>
        </w:trPr>
        <w:tc>
          <w:tcPr>
            <w:tcW w:w="2467" w:type="dxa"/>
            <w:gridSpan w:val="3"/>
            <w:vAlign w:val="center"/>
          </w:tcPr>
          <w:p w14:paraId="5226A147" w14:textId="77777777" w:rsidR="00411025" w:rsidRDefault="00411025" w:rsidP="00411025">
            <w:pPr>
              <w:pStyle w:val="Akapitzlist"/>
              <w:numPr>
                <w:ilvl w:val="0"/>
                <w:numId w:val="5"/>
              </w:numPr>
              <w:spacing w:after="0" w:line="240" w:lineRule="auto"/>
              <w:ind w:left="425" w:hanging="357"/>
              <w:rPr>
                <w:rFonts w:ascii="Lato" w:hAnsi="Lato" w:cs="Arial"/>
                <w:b/>
              </w:rPr>
            </w:pPr>
            <w:r>
              <w:rPr>
                <w:rFonts w:ascii="Lato" w:hAnsi="Lato" w:cs="Arial"/>
              </w:rPr>
              <w:t>Art. 35 ust. 3 lit. a RODO</w:t>
            </w:r>
          </w:p>
        </w:tc>
        <w:tc>
          <w:tcPr>
            <w:tcW w:w="5411" w:type="dxa"/>
            <w:gridSpan w:val="6"/>
            <w:vAlign w:val="center"/>
          </w:tcPr>
          <w:p w14:paraId="2F0602F3" w14:textId="77777777" w:rsidR="00411025" w:rsidRDefault="00411025" w:rsidP="00411025">
            <w:pPr>
              <w:pStyle w:val="Akapitzlist"/>
              <w:spacing w:after="0" w:line="240" w:lineRule="auto"/>
              <w:ind w:left="68"/>
              <w:jc w:val="both"/>
              <w:rPr>
                <w:rFonts w:ascii="Lato" w:hAnsi="Lato" w:cs="Arial"/>
                <w:b/>
              </w:rPr>
            </w:pPr>
            <w:r>
              <w:rPr>
                <w:rStyle w:val="markedcontent"/>
                <w:rFonts w:ascii="Lato" w:hAnsi="Lato" w:cs="Arial"/>
              </w:rPr>
              <w:t xml:space="preserve">Systematyczna, kompleksowa ocena czynników osobowych odnoszących się do osób fizycznych, </w:t>
            </w:r>
            <w:r>
              <w:rPr>
                <w:rStyle w:val="markedcontent"/>
                <w:rFonts w:ascii="Lato" w:hAnsi="Lato" w:cs="Arial"/>
              </w:rPr>
              <w:br/>
              <w:t>która opiera się na zautomatyzowanym przetwarzaniu, w tym profilowaniu, i jest podstawą decyzji wywołujących skutki prawne wobec osoby fizycznej lub w podobny sposób znacząco wpływających na osobę fizyczną</w:t>
            </w:r>
          </w:p>
        </w:tc>
        <w:tc>
          <w:tcPr>
            <w:tcW w:w="1837" w:type="dxa"/>
            <w:gridSpan w:val="2"/>
            <w:vAlign w:val="center"/>
          </w:tcPr>
          <w:p w14:paraId="14ABFC2C" w14:textId="04F5DFA6"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nie</w:t>
            </w:r>
          </w:p>
        </w:tc>
      </w:tr>
      <w:tr w:rsidR="00411025" w14:paraId="4B357336" w14:textId="77777777">
        <w:trPr>
          <w:trHeight w:val="1263"/>
        </w:trPr>
        <w:tc>
          <w:tcPr>
            <w:tcW w:w="2467" w:type="dxa"/>
            <w:gridSpan w:val="3"/>
            <w:vAlign w:val="center"/>
          </w:tcPr>
          <w:p w14:paraId="06B67746"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3 lit. b RODO</w:t>
            </w:r>
          </w:p>
        </w:tc>
        <w:tc>
          <w:tcPr>
            <w:tcW w:w="5411" w:type="dxa"/>
            <w:gridSpan w:val="6"/>
            <w:vAlign w:val="center"/>
          </w:tcPr>
          <w:p w14:paraId="210A7CEB"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 xml:space="preserve">Przetwarzanie na dużą skalę szczególnych kategorii danych osobowych, o których mowa w art. 9 ust. 1, </w:t>
            </w:r>
            <w:r>
              <w:rPr>
                <w:rStyle w:val="markedcontent"/>
                <w:rFonts w:ascii="Lato" w:hAnsi="Lato" w:cs="Arial"/>
              </w:rPr>
              <w:br/>
              <w:t>lub danych osobowych dotyczących wyroków skazujących i naruszeń prawa, o których mowa w art. 10</w:t>
            </w:r>
          </w:p>
        </w:tc>
        <w:tc>
          <w:tcPr>
            <w:tcW w:w="1837" w:type="dxa"/>
            <w:gridSpan w:val="2"/>
            <w:vAlign w:val="center"/>
          </w:tcPr>
          <w:p w14:paraId="2A66F799" w14:textId="0BB9319A"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tak</w:t>
            </w:r>
          </w:p>
        </w:tc>
      </w:tr>
      <w:tr w:rsidR="00411025" w14:paraId="707274F6" w14:textId="77777777">
        <w:trPr>
          <w:trHeight w:val="700"/>
        </w:trPr>
        <w:tc>
          <w:tcPr>
            <w:tcW w:w="2467" w:type="dxa"/>
            <w:gridSpan w:val="3"/>
            <w:vAlign w:val="center"/>
          </w:tcPr>
          <w:p w14:paraId="5C91B528"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3 lit. c RODO</w:t>
            </w:r>
          </w:p>
        </w:tc>
        <w:tc>
          <w:tcPr>
            <w:tcW w:w="5411" w:type="dxa"/>
            <w:gridSpan w:val="6"/>
            <w:vAlign w:val="center"/>
          </w:tcPr>
          <w:p w14:paraId="5CDFB7DD"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Systematyczne monitorowanie na dużą skalę</w:t>
            </w:r>
            <w:r>
              <w:rPr>
                <w:rStyle w:val="Odwoanieprzypisudolnego"/>
                <w:rFonts w:ascii="Lato" w:hAnsi="Lato" w:cs="Arial"/>
              </w:rPr>
              <w:footnoteReference w:id="18"/>
            </w:r>
            <w:r>
              <w:rPr>
                <w:rStyle w:val="markedcontent"/>
                <w:rFonts w:ascii="Lato" w:hAnsi="Lato" w:cs="Arial"/>
              </w:rPr>
              <w:t xml:space="preserve"> miejsc dostępnych publicznie</w:t>
            </w:r>
          </w:p>
        </w:tc>
        <w:tc>
          <w:tcPr>
            <w:tcW w:w="1837" w:type="dxa"/>
            <w:gridSpan w:val="2"/>
            <w:vAlign w:val="center"/>
          </w:tcPr>
          <w:p w14:paraId="0D9D8E8D" w14:textId="634F801F"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nie</w:t>
            </w:r>
          </w:p>
        </w:tc>
      </w:tr>
      <w:tr w:rsidR="00411025" w14:paraId="68E7FB25" w14:textId="77777777">
        <w:trPr>
          <w:trHeight w:val="1405"/>
        </w:trPr>
        <w:tc>
          <w:tcPr>
            <w:tcW w:w="2467" w:type="dxa"/>
            <w:gridSpan w:val="3"/>
            <w:vAlign w:val="center"/>
          </w:tcPr>
          <w:p w14:paraId="71FDF4FB"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4 RODO</w:t>
            </w:r>
          </w:p>
        </w:tc>
        <w:tc>
          <w:tcPr>
            <w:tcW w:w="5411" w:type="dxa"/>
            <w:gridSpan w:val="6"/>
            <w:vAlign w:val="center"/>
          </w:tcPr>
          <w:p w14:paraId="36AC2583"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Wykaz rodzajów operacji przetwarzania podlegających wymogowi dokonania oceny skutków dla ochrony danych (ogłoszone w Komunikacie Prezesa Urzędu Ochrony Danych Osobowych z dnia 17 czerwca 2019 r.</w:t>
            </w:r>
            <w:r>
              <w:rPr>
                <w:rStyle w:val="Odwoanieprzypisudolnego"/>
                <w:rFonts w:ascii="Lato" w:hAnsi="Lato" w:cs="Arial"/>
              </w:rPr>
              <w:footnoteReference w:id="19"/>
            </w:r>
            <w:r>
              <w:rPr>
                <w:rStyle w:val="markedcontent"/>
                <w:rFonts w:ascii="Lato" w:hAnsi="Lato" w:cs="Arial"/>
              </w:rPr>
              <w:t>)</w:t>
            </w:r>
          </w:p>
        </w:tc>
        <w:tc>
          <w:tcPr>
            <w:tcW w:w="1837" w:type="dxa"/>
            <w:gridSpan w:val="2"/>
            <w:vAlign w:val="center"/>
          </w:tcPr>
          <w:p w14:paraId="0527F4D3" w14:textId="49EDDDF6"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_</w:t>
            </w:r>
          </w:p>
        </w:tc>
      </w:tr>
      <w:tr w:rsidR="00411025" w14:paraId="18B7E076" w14:textId="77777777">
        <w:trPr>
          <w:trHeight w:val="928"/>
        </w:trPr>
        <w:tc>
          <w:tcPr>
            <w:tcW w:w="9715" w:type="dxa"/>
            <w:gridSpan w:val="11"/>
            <w:vAlign w:val="center"/>
          </w:tcPr>
          <w:p w14:paraId="269AB8FF" w14:textId="77777777" w:rsidR="00411025" w:rsidRDefault="00411025" w:rsidP="00411025">
            <w:pPr>
              <w:pStyle w:val="Akapitzlist"/>
              <w:numPr>
                <w:ilvl w:val="0"/>
                <w:numId w:val="6"/>
              </w:numPr>
              <w:spacing w:after="0" w:line="240" w:lineRule="auto"/>
              <w:ind w:left="863" w:hanging="567"/>
              <w:rPr>
                <w:rFonts w:ascii="Lato" w:hAnsi="Lato" w:cs="Arial"/>
                <w:b/>
              </w:rPr>
            </w:pPr>
            <w:r>
              <w:rPr>
                <w:rFonts w:ascii="Lato" w:hAnsi="Lato" w:cs="Arial"/>
                <w:b/>
              </w:rPr>
              <w:t xml:space="preserve">IDENTYFIKACJA I OCENA RYZYK DLA PRAW LUB WOLNOŚCI OSÓB FIZYCZNYCH </w:t>
            </w:r>
            <w:r>
              <w:rPr>
                <w:rFonts w:ascii="Lato" w:hAnsi="Lato" w:cs="Arial"/>
                <w:b/>
              </w:rPr>
              <w:br/>
              <w:t>W WYNIKU WEJŚCIA W ŻYCIE AKTU NORMATYWNEGO</w:t>
            </w:r>
          </w:p>
        </w:tc>
      </w:tr>
      <w:tr w:rsidR="00411025" w14:paraId="77D2D160" w14:textId="77777777">
        <w:trPr>
          <w:trHeight w:val="1129"/>
        </w:trPr>
        <w:tc>
          <w:tcPr>
            <w:tcW w:w="3201" w:type="dxa"/>
            <w:gridSpan w:val="4"/>
            <w:vAlign w:val="center"/>
          </w:tcPr>
          <w:p w14:paraId="612ACFD4" w14:textId="77777777" w:rsidR="00411025" w:rsidRDefault="00411025" w:rsidP="00411025">
            <w:pPr>
              <w:pStyle w:val="Akapitzlist"/>
              <w:spacing w:after="0" w:line="240" w:lineRule="auto"/>
              <w:ind w:left="14"/>
              <w:jc w:val="center"/>
              <w:rPr>
                <w:rFonts w:ascii="Lato" w:hAnsi="Lato" w:cs="Arial"/>
                <w:b/>
              </w:rPr>
            </w:pPr>
            <w:r>
              <w:rPr>
                <w:rFonts w:ascii="Lato" w:hAnsi="Lato" w:cs="Arial"/>
                <w:b/>
              </w:rPr>
              <w:t xml:space="preserve">Ryzyko (-a) </w:t>
            </w:r>
          </w:p>
          <w:p w14:paraId="4273E45D" w14:textId="77777777" w:rsidR="00411025" w:rsidRDefault="00411025" w:rsidP="00411025">
            <w:pPr>
              <w:pStyle w:val="Akapitzlist"/>
              <w:spacing w:after="0" w:line="240" w:lineRule="auto"/>
              <w:ind w:left="14"/>
              <w:jc w:val="center"/>
              <w:rPr>
                <w:rFonts w:ascii="Lato" w:hAnsi="Lato" w:cs="Arial"/>
                <w:b/>
                <w:i/>
                <w:iCs/>
              </w:rPr>
            </w:pPr>
            <w:r>
              <w:rPr>
                <w:rFonts w:ascii="Lato" w:hAnsi="Lato" w:cs="Arial"/>
                <w:bCs/>
                <w:i/>
                <w:iCs/>
              </w:rPr>
              <w:t xml:space="preserve">(należy opisać jego źródło </w:t>
            </w:r>
            <w:r>
              <w:rPr>
                <w:rFonts w:ascii="Lato" w:hAnsi="Lato" w:cs="Arial"/>
                <w:bCs/>
                <w:i/>
                <w:iCs/>
              </w:rPr>
              <w:br/>
              <w:t>i charakter potencjalnego wpływu na poszczególne osoby)</w:t>
            </w:r>
          </w:p>
        </w:tc>
        <w:tc>
          <w:tcPr>
            <w:tcW w:w="3260" w:type="dxa"/>
            <w:gridSpan w:val="3"/>
            <w:vAlign w:val="center"/>
          </w:tcPr>
          <w:p w14:paraId="730C9049" w14:textId="77777777" w:rsidR="00411025" w:rsidRDefault="00411025" w:rsidP="00411025">
            <w:pPr>
              <w:pStyle w:val="Akapitzlist"/>
              <w:spacing w:after="0" w:line="240" w:lineRule="auto"/>
              <w:ind w:left="-71" w:right="-72"/>
              <w:jc w:val="center"/>
              <w:rPr>
                <w:rFonts w:ascii="Lato" w:hAnsi="Lato" w:cs="Arial"/>
                <w:b/>
              </w:rPr>
            </w:pPr>
            <w:r>
              <w:rPr>
                <w:rFonts w:ascii="Lato" w:hAnsi="Lato" w:cs="Arial"/>
                <w:b/>
              </w:rPr>
              <w:t xml:space="preserve">Prawdopodobieństwo szkody </w:t>
            </w:r>
          </w:p>
          <w:p w14:paraId="44082BD1" w14:textId="77777777" w:rsidR="00411025" w:rsidRDefault="00411025" w:rsidP="00411025">
            <w:pPr>
              <w:pStyle w:val="Akapitzlist"/>
              <w:spacing w:after="0" w:line="240" w:lineRule="auto"/>
              <w:ind w:left="-71" w:right="-72"/>
              <w:jc w:val="center"/>
              <w:rPr>
                <w:rFonts w:ascii="Lato" w:hAnsi="Lato" w:cs="Arial"/>
                <w:bCs/>
                <w:i/>
                <w:iCs/>
              </w:rPr>
            </w:pPr>
            <w:r>
              <w:rPr>
                <w:rFonts w:ascii="Lato" w:hAnsi="Lato" w:cs="Arial"/>
                <w:bCs/>
                <w:i/>
                <w:iCs/>
              </w:rPr>
              <w:t>(nie występuje, jest możliwe lub prawdopodobne)</w:t>
            </w:r>
          </w:p>
        </w:tc>
        <w:tc>
          <w:tcPr>
            <w:tcW w:w="1701" w:type="dxa"/>
            <w:gridSpan w:val="3"/>
            <w:vAlign w:val="center"/>
          </w:tcPr>
          <w:p w14:paraId="0885CEF7" w14:textId="77777777" w:rsidR="00411025" w:rsidRDefault="00411025" w:rsidP="00411025">
            <w:pPr>
              <w:pStyle w:val="Akapitzlist"/>
              <w:spacing w:after="0" w:line="240" w:lineRule="auto"/>
              <w:ind w:left="0" w:firstLine="68"/>
              <w:jc w:val="center"/>
              <w:rPr>
                <w:rFonts w:ascii="Lato" w:hAnsi="Lato" w:cs="Arial"/>
                <w:b/>
              </w:rPr>
            </w:pPr>
            <w:r>
              <w:rPr>
                <w:rFonts w:ascii="Lato" w:hAnsi="Lato" w:cs="Arial"/>
                <w:b/>
              </w:rPr>
              <w:t>Dotkliwość szkody</w:t>
            </w:r>
          </w:p>
          <w:p w14:paraId="10618BA3" w14:textId="77777777" w:rsidR="00411025" w:rsidRDefault="00411025" w:rsidP="00411025">
            <w:pPr>
              <w:pStyle w:val="Akapitzlist"/>
              <w:spacing w:after="0" w:line="240" w:lineRule="auto"/>
              <w:ind w:left="0" w:firstLine="68"/>
              <w:jc w:val="center"/>
              <w:rPr>
                <w:rFonts w:ascii="Lato" w:hAnsi="Lato" w:cs="Arial"/>
                <w:bCs/>
                <w:i/>
                <w:iCs/>
              </w:rPr>
            </w:pPr>
            <w:r>
              <w:rPr>
                <w:rFonts w:ascii="Lato" w:hAnsi="Lato" w:cs="Arial"/>
                <w:bCs/>
                <w:i/>
                <w:iCs/>
              </w:rPr>
              <w:t>(minimalna, znacząca lub poważna)</w:t>
            </w:r>
          </w:p>
        </w:tc>
        <w:tc>
          <w:tcPr>
            <w:tcW w:w="1553" w:type="dxa"/>
            <w:vAlign w:val="center"/>
          </w:tcPr>
          <w:p w14:paraId="09369EA5" w14:textId="77777777" w:rsidR="00411025" w:rsidRDefault="00411025" w:rsidP="00411025">
            <w:pPr>
              <w:pStyle w:val="Akapitzlist"/>
              <w:spacing w:after="0" w:line="240" w:lineRule="auto"/>
              <w:ind w:left="-81"/>
              <w:jc w:val="center"/>
              <w:rPr>
                <w:rFonts w:ascii="Lato" w:hAnsi="Lato" w:cs="Arial"/>
                <w:b/>
              </w:rPr>
            </w:pPr>
            <w:r>
              <w:rPr>
                <w:rFonts w:ascii="Lato" w:hAnsi="Lato" w:cs="Arial"/>
                <w:b/>
              </w:rPr>
              <w:t>Poziom ryzyka</w:t>
            </w:r>
          </w:p>
          <w:p w14:paraId="0F70DCC9" w14:textId="77777777" w:rsidR="00411025" w:rsidRDefault="00411025" w:rsidP="00411025">
            <w:pPr>
              <w:pStyle w:val="Akapitzlist"/>
              <w:spacing w:after="0" w:line="240" w:lineRule="auto"/>
              <w:ind w:left="-81"/>
              <w:jc w:val="center"/>
              <w:rPr>
                <w:rFonts w:ascii="Lato" w:hAnsi="Lato" w:cs="Arial"/>
                <w:bCs/>
                <w:i/>
                <w:iCs/>
              </w:rPr>
            </w:pPr>
            <w:r>
              <w:rPr>
                <w:rFonts w:ascii="Lato" w:hAnsi="Lato" w:cs="Arial"/>
                <w:bCs/>
                <w:i/>
                <w:iCs/>
              </w:rPr>
              <w:t>(niski, średni lub wysoki)</w:t>
            </w:r>
          </w:p>
        </w:tc>
      </w:tr>
      <w:tr w:rsidR="00411025" w14:paraId="02367B4D" w14:textId="77777777">
        <w:trPr>
          <w:trHeight w:val="852"/>
        </w:trPr>
        <w:tc>
          <w:tcPr>
            <w:tcW w:w="3201" w:type="dxa"/>
            <w:gridSpan w:val="4"/>
            <w:vAlign w:val="center"/>
          </w:tcPr>
          <w:p w14:paraId="6DB73F37" w14:textId="35C8DC2B" w:rsidR="00411025" w:rsidRPr="00DF0951" w:rsidRDefault="00695125" w:rsidP="00411025">
            <w:pPr>
              <w:pStyle w:val="Akapitzlist"/>
              <w:spacing w:after="0" w:line="240" w:lineRule="auto"/>
              <w:ind w:left="14" w:hanging="14"/>
              <w:jc w:val="center"/>
              <w:rPr>
                <w:rFonts w:ascii="Lato" w:hAnsi="Lato" w:cs="Arial"/>
                <w:b/>
              </w:rPr>
            </w:pPr>
            <w:r>
              <w:rPr>
                <w:rFonts w:ascii="Lato" w:hAnsi="Lato" w:cs="Arial"/>
                <w:sz w:val="20"/>
                <w:szCs w:val="20"/>
              </w:rPr>
              <w:t xml:space="preserve">Zagrożenia związane z uzyskaniem bezprawnego dostępu do danych </w:t>
            </w:r>
          </w:p>
        </w:tc>
        <w:tc>
          <w:tcPr>
            <w:tcW w:w="3260" w:type="dxa"/>
            <w:gridSpan w:val="3"/>
            <w:vAlign w:val="center"/>
          </w:tcPr>
          <w:p w14:paraId="2A011E30" w14:textId="75B327A6" w:rsidR="00411025" w:rsidRPr="00AC46A4" w:rsidRDefault="00695125" w:rsidP="00411025">
            <w:pPr>
              <w:pStyle w:val="Akapitzlist"/>
              <w:spacing w:after="0" w:line="240" w:lineRule="auto"/>
              <w:ind w:left="-71"/>
              <w:jc w:val="center"/>
              <w:rPr>
                <w:rFonts w:ascii="Lato" w:hAnsi="Lato" w:cs="Arial"/>
                <w:bCs/>
              </w:rPr>
            </w:pPr>
            <w:r>
              <w:rPr>
                <w:rFonts w:ascii="Lato" w:hAnsi="Lato" w:cs="Arial"/>
                <w:bCs/>
              </w:rPr>
              <w:t xml:space="preserve">jest możliwe </w:t>
            </w:r>
          </w:p>
        </w:tc>
        <w:tc>
          <w:tcPr>
            <w:tcW w:w="1701" w:type="dxa"/>
            <w:gridSpan w:val="3"/>
            <w:vAlign w:val="center"/>
          </w:tcPr>
          <w:p w14:paraId="07EFDEFF" w14:textId="7504F6D3" w:rsidR="00411025"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184AA206" w14:textId="5A7DEFAA" w:rsidR="00411025" w:rsidRPr="003A3FAB" w:rsidRDefault="00695125" w:rsidP="00411025">
            <w:pPr>
              <w:pStyle w:val="Akapitzlist"/>
              <w:spacing w:after="0" w:line="240" w:lineRule="auto"/>
              <w:ind w:left="-81"/>
              <w:jc w:val="center"/>
              <w:rPr>
                <w:rFonts w:ascii="Lato" w:hAnsi="Lato" w:cs="Arial"/>
                <w:bCs/>
              </w:rPr>
            </w:pPr>
            <w:r>
              <w:rPr>
                <w:rFonts w:ascii="Lato" w:hAnsi="Lato" w:cs="Arial"/>
                <w:bCs/>
              </w:rPr>
              <w:t xml:space="preserve">niski </w:t>
            </w:r>
          </w:p>
        </w:tc>
      </w:tr>
      <w:tr w:rsidR="00365DE3" w14:paraId="22435076" w14:textId="77777777">
        <w:trPr>
          <w:trHeight w:val="852"/>
        </w:trPr>
        <w:tc>
          <w:tcPr>
            <w:tcW w:w="3201" w:type="dxa"/>
            <w:gridSpan w:val="4"/>
            <w:vAlign w:val="center"/>
          </w:tcPr>
          <w:p w14:paraId="3E81A00B" w14:textId="2FEE5C11" w:rsidR="00695125" w:rsidRPr="006C46FA" w:rsidRDefault="00695125" w:rsidP="00695125">
            <w:pPr>
              <w:pStyle w:val="Akapitzlist"/>
              <w:spacing w:after="0" w:line="240" w:lineRule="auto"/>
              <w:ind w:left="14" w:hanging="14"/>
              <w:jc w:val="center"/>
              <w:rPr>
                <w:rFonts w:ascii="Lato" w:hAnsi="Lato" w:cs="Arial"/>
                <w:sz w:val="20"/>
                <w:szCs w:val="20"/>
              </w:rPr>
            </w:pPr>
            <w:r>
              <w:rPr>
                <w:rFonts w:ascii="Lato" w:hAnsi="Lato" w:cs="Arial"/>
                <w:sz w:val="20"/>
                <w:szCs w:val="20"/>
              </w:rPr>
              <w:t xml:space="preserve">Zablokowanie dostępu do danych, zniszczenie danych – może mieć też wpływ na wynik analizy danych </w:t>
            </w:r>
          </w:p>
        </w:tc>
        <w:tc>
          <w:tcPr>
            <w:tcW w:w="3260" w:type="dxa"/>
            <w:gridSpan w:val="3"/>
            <w:vAlign w:val="center"/>
          </w:tcPr>
          <w:p w14:paraId="0DE5A1F0" w14:textId="77001800" w:rsidR="00365DE3" w:rsidRPr="00AC46A4" w:rsidRDefault="00695125" w:rsidP="00411025">
            <w:pPr>
              <w:pStyle w:val="Akapitzlist"/>
              <w:spacing w:after="0" w:line="240" w:lineRule="auto"/>
              <w:ind w:left="-71"/>
              <w:jc w:val="center"/>
              <w:rPr>
                <w:rFonts w:ascii="Lato" w:hAnsi="Lato" w:cs="Arial"/>
                <w:bCs/>
              </w:rPr>
            </w:pPr>
            <w:r>
              <w:rPr>
                <w:rFonts w:ascii="Lato" w:hAnsi="Lato" w:cs="Arial"/>
                <w:bCs/>
              </w:rPr>
              <w:t>jest możliwe</w:t>
            </w:r>
          </w:p>
        </w:tc>
        <w:tc>
          <w:tcPr>
            <w:tcW w:w="1701" w:type="dxa"/>
            <w:gridSpan w:val="3"/>
            <w:vAlign w:val="center"/>
          </w:tcPr>
          <w:p w14:paraId="3D8222CB" w14:textId="0A03E332" w:rsidR="00365DE3"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447D9ED6" w14:textId="5C9E578E" w:rsidR="00365DE3" w:rsidRPr="003A3FAB" w:rsidRDefault="00695125" w:rsidP="00411025">
            <w:pPr>
              <w:pStyle w:val="Akapitzlist"/>
              <w:spacing w:after="0" w:line="240" w:lineRule="auto"/>
              <w:ind w:left="-81"/>
              <w:jc w:val="center"/>
              <w:rPr>
                <w:rFonts w:ascii="Lato" w:hAnsi="Lato" w:cs="Arial"/>
                <w:bCs/>
              </w:rPr>
            </w:pPr>
            <w:r>
              <w:rPr>
                <w:rFonts w:ascii="Lato" w:hAnsi="Lato" w:cs="Arial"/>
                <w:bCs/>
              </w:rPr>
              <w:t>niski</w:t>
            </w:r>
          </w:p>
        </w:tc>
      </w:tr>
      <w:tr w:rsidR="00365DE3" w14:paraId="098B52A2" w14:textId="77777777">
        <w:trPr>
          <w:trHeight w:val="852"/>
        </w:trPr>
        <w:tc>
          <w:tcPr>
            <w:tcW w:w="3201" w:type="dxa"/>
            <w:gridSpan w:val="4"/>
            <w:vAlign w:val="center"/>
          </w:tcPr>
          <w:p w14:paraId="218C014A" w14:textId="1B38E580" w:rsidR="00365DE3" w:rsidRPr="00DF0951" w:rsidRDefault="00695125" w:rsidP="00411025">
            <w:pPr>
              <w:pStyle w:val="Akapitzlist"/>
              <w:spacing w:after="0" w:line="240" w:lineRule="auto"/>
              <w:ind w:left="14" w:hanging="14"/>
              <w:jc w:val="center"/>
              <w:rPr>
                <w:rFonts w:ascii="Lato" w:hAnsi="Lato" w:cs="Arial"/>
                <w:sz w:val="20"/>
                <w:szCs w:val="20"/>
              </w:rPr>
            </w:pPr>
            <w:r>
              <w:rPr>
                <w:rFonts w:ascii="Lato" w:hAnsi="Lato" w:cs="Arial"/>
                <w:sz w:val="20"/>
                <w:szCs w:val="20"/>
              </w:rPr>
              <w:t xml:space="preserve">Zagrożenie ingerencji w oprogramowanie serwera lub fizyczne jego zniszczenie </w:t>
            </w:r>
          </w:p>
        </w:tc>
        <w:tc>
          <w:tcPr>
            <w:tcW w:w="3260" w:type="dxa"/>
            <w:gridSpan w:val="3"/>
            <w:vAlign w:val="center"/>
          </w:tcPr>
          <w:p w14:paraId="131A2830" w14:textId="4C37D106" w:rsidR="00365DE3" w:rsidRPr="00AC46A4" w:rsidRDefault="00695125" w:rsidP="00411025">
            <w:pPr>
              <w:pStyle w:val="Akapitzlist"/>
              <w:spacing w:after="0" w:line="240" w:lineRule="auto"/>
              <w:ind w:left="-71"/>
              <w:jc w:val="center"/>
              <w:rPr>
                <w:rFonts w:ascii="Lato" w:hAnsi="Lato" w:cs="Arial"/>
                <w:bCs/>
              </w:rPr>
            </w:pPr>
            <w:r>
              <w:rPr>
                <w:rFonts w:ascii="Lato" w:hAnsi="Lato" w:cs="Arial"/>
                <w:bCs/>
              </w:rPr>
              <w:t>jest możliwe</w:t>
            </w:r>
          </w:p>
        </w:tc>
        <w:tc>
          <w:tcPr>
            <w:tcW w:w="1701" w:type="dxa"/>
            <w:gridSpan w:val="3"/>
            <w:vAlign w:val="center"/>
          </w:tcPr>
          <w:p w14:paraId="6D8464AB" w14:textId="14B0229B" w:rsidR="00365DE3"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0B16ECE9" w14:textId="30656651" w:rsidR="00365DE3" w:rsidRPr="003A3FAB" w:rsidRDefault="00695125" w:rsidP="00411025">
            <w:pPr>
              <w:pStyle w:val="Akapitzlist"/>
              <w:spacing w:after="0" w:line="240" w:lineRule="auto"/>
              <w:ind w:left="-81"/>
              <w:jc w:val="center"/>
              <w:rPr>
                <w:rFonts w:ascii="Lato" w:hAnsi="Lato" w:cs="Arial"/>
                <w:bCs/>
              </w:rPr>
            </w:pPr>
            <w:r>
              <w:rPr>
                <w:rFonts w:ascii="Lato" w:hAnsi="Lato" w:cs="Arial"/>
                <w:bCs/>
              </w:rPr>
              <w:t>niski</w:t>
            </w:r>
          </w:p>
        </w:tc>
      </w:tr>
      <w:tr w:rsidR="00411025" w14:paraId="485E94A1" w14:textId="77777777">
        <w:trPr>
          <w:trHeight w:val="766"/>
        </w:trPr>
        <w:tc>
          <w:tcPr>
            <w:tcW w:w="9715" w:type="dxa"/>
            <w:gridSpan w:val="11"/>
            <w:vAlign w:val="center"/>
          </w:tcPr>
          <w:p w14:paraId="7F24F882" w14:textId="77777777" w:rsidR="00411025" w:rsidRDefault="00411025" w:rsidP="00411025">
            <w:pPr>
              <w:pStyle w:val="Akapitzlist"/>
              <w:numPr>
                <w:ilvl w:val="0"/>
                <w:numId w:val="6"/>
              </w:numPr>
              <w:spacing w:line="240" w:lineRule="auto"/>
              <w:ind w:left="863" w:hanging="567"/>
              <w:rPr>
                <w:rFonts w:ascii="Lato" w:hAnsi="Lato" w:cs="Arial"/>
                <w:b/>
                <w:bCs/>
              </w:rPr>
            </w:pPr>
            <w:r>
              <w:rPr>
                <w:rFonts w:ascii="Lato" w:hAnsi="Lato" w:cs="Arial"/>
                <w:b/>
                <w:bCs/>
              </w:rPr>
              <w:lastRenderedPageBreak/>
              <w:t>OKREŚLENIE ŚRODKÓW MAJĄCYCH NA CELU ZMNIEJSZENIE RYZYKA</w:t>
            </w:r>
            <w:r>
              <w:rPr>
                <w:rStyle w:val="Odwoanieprzypisudolnego"/>
                <w:rFonts w:ascii="Lato" w:hAnsi="Lato" w:cs="Arial"/>
                <w:b/>
                <w:bCs/>
              </w:rPr>
              <w:footnoteReference w:id="20"/>
            </w:r>
          </w:p>
        </w:tc>
      </w:tr>
      <w:tr w:rsidR="00411025" w14:paraId="07D99ACB" w14:textId="77777777">
        <w:trPr>
          <w:trHeight w:val="1122"/>
        </w:trPr>
        <w:tc>
          <w:tcPr>
            <w:tcW w:w="9715" w:type="dxa"/>
            <w:gridSpan w:val="11"/>
            <w:vAlign w:val="center"/>
          </w:tcPr>
          <w:p w14:paraId="6F78C990" w14:textId="77777777" w:rsidR="00411025" w:rsidRDefault="00411025" w:rsidP="00411025">
            <w:pPr>
              <w:pStyle w:val="Akapitzlist"/>
              <w:spacing w:after="0" w:line="240" w:lineRule="auto"/>
              <w:ind w:left="8" w:hanging="8"/>
              <w:jc w:val="both"/>
              <w:rPr>
                <w:rFonts w:ascii="Lato" w:hAnsi="Lato" w:cs="Arial"/>
                <w:bCs/>
              </w:rPr>
            </w:pPr>
            <w:r>
              <w:rPr>
                <w:rFonts w:ascii="Lato" w:hAnsi="Lato" w:cs="Arial"/>
                <w:bCs/>
              </w:rPr>
              <w:t>Identyfikacja środków, które można podjąć, aby zmniejszyć lub wyeliminować ryzyko zidentyfikowane jako średnie lub wysokie ryzyko w cz. IV. Środki planowane w celu zaradzenia ryzyku (zabezpieczenia, środki i mechanizmy bezpieczeństwa mających zapewnić ochronę danych osobowych)</w:t>
            </w:r>
            <w:r>
              <w:rPr>
                <w:rStyle w:val="Odwoanieprzypisudolnego"/>
                <w:rFonts w:ascii="Lato" w:hAnsi="Lato" w:cs="Arial"/>
                <w:bCs/>
              </w:rPr>
              <w:t xml:space="preserve"> </w:t>
            </w:r>
          </w:p>
        </w:tc>
      </w:tr>
      <w:tr w:rsidR="00411025" w14:paraId="3E647728" w14:textId="77777777">
        <w:trPr>
          <w:trHeight w:val="1266"/>
        </w:trPr>
        <w:tc>
          <w:tcPr>
            <w:tcW w:w="1943" w:type="dxa"/>
            <w:gridSpan w:val="2"/>
            <w:vAlign w:val="center"/>
          </w:tcPr>
          <w:p w14:paraId="42140C6D"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Ryzyko (-a)</w:t>
            </w:r>
          </w:p>
        </w:tc>
        <w:tc>
          <w:tcPr>
            <w:tcW w:w="1943" w:type="dxa"/>
            <w:gridSpan w:val="3"/>
            <w:vAlign w:val="center"/>
          </w:tcPr>
          <w:p w14:paraId="162D91A9"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 xml:space="preserve">Środki planowane w celu zaradzenia ryzyku </w:t>
            </w:r>
          </w:p>
          <w:p w14:paraId="6D39AE9F" w14:textId="77777777" w:rsidR="00411025" w:rsidRDefault="00411025" w:rsidP="00411025">
            <w:pPr>
              <w:pStyle w:val="Akapitzlist"/>
              <w:spacing w:after="0" w:line="240" w:lineRule="auto"/>
              <w:ind w:left="6" w:hanging="6"/>
              <w:jc w:val="center"/>
              <w:rPr>
                <w:rFonts w:ascii="Lato" w:hAnsi="Lato" w:cs="Arial"/>
                <w:b/>
                <w:i/>
                <w:iCs/>
              </w:rPr>
            </w:pPr>
            <w:r>
              <w:rPr>
                <w:rFonts w:ascii="Lato" w:hAnsi="Lato" w:cs="Arial"/>
                <w:bCs/>
                <w:i/>
                <w:iCs/>
              </w:rPr>
              <w:t>(należy opisać i wymienić)</w:t>
            </w:r>
          </w:p>
        </w:tc>
        <w:tc>
          <w:tcPr>
            <w:tcW w:w="1943" w:type="dxa"/>
            <w:vAlign w:val="center"/>
          </w:tcPr>
          <w:p w14:paraId="58ED0CBC"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Wpływ na ryzyko</w:t>
            </w:r>
          </w:p>
          <w:p w14:paraId="190E759F"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(wyeliminowanie, redukcja)</w:t>
            </w:r>
          </w:p>
        </w:tc>
        <w:tc>
          <w:tcPr>
            <w:tcW w:w="1943" w:type="dxa"/>
            <w:gridSpan w:val="2"/>
            <w:vAlign w:val="center"/>
          </w:tcPr>
          <w:p w14:paraId="5AC308C3"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 xml:space="preserve">*Poziom ryzyka </w:t>
            </w:r>
            <w:r>
              <w:rPr>
                <w:rFonts w:ascii="Lato" w:hAnsi="Lato" w:cs="Arial"/>
                <w:b/>
              </w:rPr>
              <w:br/>
              <w:t>po wprowadzeniu środków</w:t>
            </w:r>
          </w:p>
          <w:p w14:paraId="0733FCEE"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(niski, średni, wysoki)</w:t>
            </w:r>
          </w:p>
        </w:tc>
        <w:tc>
          <w:tcPr>
            <w:tcW w:w="1943" w:type="dxa"/>
            <w:gridSpan w:val="3"/>
            <w:vAlign w:val="center"/>
          </w:tcPr>
          <w:p w14:paraId="707AF300"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Środek zatwierdzony</w:t>
            </w:r>
          </w:p>
          <w:p w14:paraId="37C93E36"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(tak/nie)</w:t>
            </w:r>
          </w:p>
        </w:tc>
      </w:tr>
      <w:tr w:rsidR="00411025" w14:paraId="442AA1ED" w14:textId="77777777">
        <w:trPr>
          <w:trHeight w:val="841"/>
        </w:trPr>
        <w:tc>
          <w:tcPr>
            <w:tcW w:w="1943" w:type="dxa"/>
            <w:gridSpan w:val="2"/>
            <w:vAlign w:val="center"/>
          </w:tcPr>
          <w:p w14:paraId="2F3C15B2" w14:textId="02B47219"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3"/>
            <w:vAlign w:val="center"/>
          </w:tcPr>
          <w:p w14:paraId="2F19112D" w14:textId="5F89DDD4"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vAlign w:val="center"/>
          </w:tcPr>
          <w:p w14:paraId="6FB4B812" w14:textId="218F0E24"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2"/>
            <w:vAlign w:val="center"/>
          </w:tcPr>
          <w:p w14:paraId="03068ABF" w14:textId="2D0BCB1F"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3"/>
            <w:vAlign w:val="center"/>
          </w:tcPr>
          <w:p w14:paraId="2D056CC6" w14:textId="512DE1F9"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r>
      <w:tr w:rsidR="00411025" w14:paraId="47FCCE51" w14:textId="77777777">
        <w:trPr>
          <w:trHeight w:val="1119"/>
        </w:trPr>
        <w:tc>
          <w:tcPr>
            <w:tcW w:w="9715" w:type="dxa"/>
            <w:gridSpan w:val="11"/>
            <w:vAlign w:val="center"/>
          </w:tcPr>
          <w:p w14:paraId="3292E235" w14:textId="77777777" w:rsidR="00411025" w:rsidRDefault="00411025" w:rsidP="00411025">
            <w:pPr>
              <w:pStyle w:val="Akapitzlist"/>
              <w:spacing w:after="0" w:line="240" w:lineRule="auto"/>
              <w:ind w:left="6" w:hanging="6"/>
              <w:jc w:val="both"/>
              <w:rPr>
                <w:rFonts w:ascii="Lato" w:hAnsi="Lato" w:cs="Arial"/>
                <w:bCs/>
              </w:rPr>
            </w:pPr>
            <w:r>
              <w:rPr>
                <w:rFonts w:ascii="Lato" w:hAnsi="Lato" w:cs="Arial"/>
                <w:bCs/>
              </w:rPr>
              <w:t xml:space="preserve">*W przypadku, gdy zidentyfikowane zostanie wysokie ryzyko i pomimo zastosowanych środków minimalizujących poziom nie ulegnie zmianie należy przeprowadzić uprzednie konsultacje </w:t>
            </w:r>
            <w:r>
              <w:rPr>
                <w:rFonts w:ascii="Lato" w:hAnsi="Lato" w:cs="Arial"/>
                <w:bCs/>
              </w:rPr>
              <w:br/>
              <w:t>z Prezesem Urzędu Ochrony Danych Osobowych w trybie art. 36 RODO</w:t>
            </w:r>
          </w:p>
        </w:tc>
      </w:tr>
      <w:tr w:rsidR="00411025" w14:paraId="01D165F6" w14:textId="77777777">
        <w:trPr>
          <w:trHeight w:val="703"/>
        </w:trPr>
        <w:tc>
          <w:tcPr>
            <w:tcW w:w="9715" w:type="dxa"/>
            <w:gridSpan w:val="11"/>
            <w:vAlign w:val="center"/>
          </w:tcPr>
          <w:p w14:paraId="4883C2B5" w14:textId="6822C5DD" w:rsidR="00411025" w:rsidRDefault="00411025" w:rsidP="00411025">
            <w:pPr>
              <w:pStyle w:val="Akapitzlist"/>
              <w:numPr>
                <w:ilvl w:val="0"/>
                <w:numId w:val="6"/>
              </w:numPr>
              <w:spacing w:line="240" w:lineRule="auto"/>
              <w:ind w:left="863" w:hanging="567"/>
              <w:rPr>
                <w:rFonts w:ascii="Lato" w:hAnsi="Lato" w:cs="Arial"/>
                <w:b/>
              </w:rPr>
            </w:pPr>
            <w:r>
              <w:rPr>
                <w:rFonts w:ascii="Lato" w:hAnsi="Lato" w:cs="Arial"/>
                <w:b/>
              </w:rPr>
              <w:t>KONSULTACJE Z INSPEKTOREM OCHRONY DANYCH</w:t>
            </w:r>
            <w:r>
              <w:rPr>
                <w:rStyle w:val="Odwoanieprzypisudolnego"/>
                <w:rFonts w:ascii="Lato" w:hAnsi="Lato" w:cs="Arial"/>
                <w:b/>
              </w:rPr>
              <w:footnoteReference w:id="21"/>
            </w:r>
            <w:r>
              <w:rPr>
                <w:rFonts w:ascii="Lato" w:hAnsi="Lato" w:cs="Arial"/>
                <w:b/>
              </w:rPr>
              <w:t xml:space="preserve">                                </w:t>
            </w:r>
            <w:sdt>
              <w:sdtPr>
                <w:rPr>
                  <w:rFonts w:ascii="Lato" w:eastAsia="MS Gothic" w:hAnsi="Lato" w:cs="Arial"/>
                  <w:color w:val="000000"/>
                </w:rPr>
                <w:id w:val="2116938589"/>
                <w14:checkbox>
                  <w14:checked w14:val="1"/>
                  <w14:checkedState w14:val="2612" w14:font="MS Gothic"/>
                  <w14:uncheckedState w14:val="2610" w14:font="MS Gothic"/>
                </w14:checkbox>
              </w:sdtPr>
              <w:sdtContent>
                <w:r w:rsidR="00696738">
                  <w:rPr>
                    <w:rFonts w:ascii="MS Gothic" w:eastAsia="MS Gothic" w:hAnsi="MS Gothic" w:cs="Segoe UI Symbol" w:hint="eastAsia"/>
                    <w:color w:val="000000"/>
                  </w:rPr>
                  <w:t>☒</w:t>
                </w:r>
              </w:sdtContent>
            </w:sdt>
          </w:p>
        </w:tc>
      </w:tr>
      <w:tr w:rsidR="00411025" w14:paraId="0F9A4FAC" w14:textId="77777777">
        <w:trPr>
          <w:trHeight w:val="703"/>
        </w:trPr>
        <w:tc>
          <w:tcPr>
            <w:tcW w:w="3201" w:type="dxa"/>
            <w:gridSpan w:val="4"/>
            <w:vAlign w:val="center"/>
          </w:tcPr>
          <w:p w14:paraId="5941376D" w14:textId="77777777" w:rsidR="00411025" w:rsidRDefault="00411025" w:rsidP="00411025">
            <w:pPr>
              <w:pStyle w:val="Akapitzlist"/>
              <w:spacing w:after="0" w:line="240" w:lineRule="auto"/>
              <w:ind w:left="150"/>
              <w:rPr>
                <w:rFonts w:ascii="Lato" w:hAnsi="Lato" w:cs="Arial"/>
                <w:b/>
              </w:rPr>
            </w:pPr>
            <w:r>
              <w:rPr>
                <w:rFonts w:ascii="Lato" w:hAnsi="Lato" w:cs="Arial"/>
                <w:b/>
              </w:rPr>
              <w:t xml:space="preserve">Ewentualne uwagi </w:t>
            </w:r>
            <w:r>
              <w:rPr>
                <w:rFonts w:ascii="Lato" w:hAnsi="Lato" w:cs="Arial"/>
                <w:bCs/>
                <w:i/>
                <w:iCs/>
              </w:rPr>
              <w:t>(zalecenia)</w:t>
            </w:r>
          </w:p>
        </w:tc>
        <w:tc>
          <w:tcPr>
            <w:tcW w:w="6514" w:type="dxa"/>
            <w:gridSpan w:val="7"/>
            <w:vAlign w:val="center"/>
          </w:tcPr>
          <w:p w14:paraId="35F83F1F" w14:textId="07CAD188" w:rsidR="00411025" w:rsidRDefault="00411025" w:rsidP="00411025">
            <w:pPr>
              <w:pStyle w:val="Akapitzlist"/>
              <w:spacing w:after="0" w:line="240" w:lineRule="auto"/>
              <w:ind w:left="431"/>
              <w:jc w:val="center"/>
              <w:rPr>
                <w:rFonts w:ascii="Lato" w:hAnsi="Lato" w:cs="Arial"/>
                <w:b/>
              </w:rPr>
            </w:pPr>
            <w:r>
              <w:rPr>
                <w:rFonts w:ascii="Lato" w:hAnsi="Lato" w:cs="Arial"/>
                <w:b/>
              </w:rPr>
              <w:t>-</w:t>
            </w:r>
          </w:p>
        </w:tc>
      </w:tr>
    </w:tbl>
    <w:p w14:paraId="2DEF30EF" w14:textId="77777777" w:rsidR="00062017" w:rsidRDefault="00062017">
      <w:pPr>
        <w:ind w:left="142" w:hanging="142"/>
        <w:jc w:val="both"/>
        <w:rPr>
          <w:rStyle w:val="markedcontent"/>
          <w:rFonts w:ascii="Lato" w:hAnsi="Lato" w:cstheme="minorHAnsi"/>
          <w:sz w:val="22"/>
        </w:rPr>
      </w:pPr>
    </w:p>
    <w:sectPr w:rsidR="00062017">
      <w:footerReference w:type="default" r:id="rId12"/>
      <w:pgSz w:w="11906" w:h="16838"/>
      <w:pgMar w:top="1440" w:right="992"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0661" w14:textId="77777777" w:rsidR="00794262" w:rsidRDefault="00794262">
      <w:pPr>
        <w:spacing w:line="240" w:lineRule="auto"/>
      </w:pPr>
      <w:r>
        <w:separator/>
      </w:r>
    </w:p>
  </w:endnote>
  <w:endnote w:type="continuationSeparator" w:id="0">
    <w:p w14:paraId="4F261325" w14:textId="77777777" w:rsidR="00794262" w:rsidRDefault="007942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B207C" w14:textId="77777777" w:rsidR="00062017" w:rsidRDefault="00062017">
    <w:pPr>
      <w:pStyle w:val="Stopka"/>
      <w:jc w:val="center"/>
    </w:pPr>
  </w:p>
  <w:p w14:paraId="66E9F602" w14:textId="77777777" w:rsidR="00062017" w:rsidRDefault="002916ED">
    <w:pPr>
      <w:pStyle w:val="Stopka"/>
      <w:tabs>
        <w:tab w:val="clear" w:pos="9026"/>
        <w:tab w:val="right" w:pos="9603"/>
        <w:tab w:val="right" w:pos="13608"/>
        <w:tab w:val="left" w:pos="13750"/>
      </w:tabs>
      <w:rPr>
        <w:sz w:val="20"/>
      </w:rPr>
    </w:pPr>
    <w:r>
      <w:rPr>
        <w:sz w:val="20"/>
        <w:lang w:val="pl"/>
      </w:rPr>
      <w:tab/>
    </w:r>
    <w:r>
      <w:rPr>
        <w:sz w:val="20"/>
        <w:lang w:val="pl"/>
      </w:rPr>
      <w:tab/>
    </w:r>
    <w:r>
      <w:rPr>
        <w:sz w:val="20"/>
        <w:lang w:val="pl"/>
      </w:rPr>
      <w:tab/>
    </w:r>
    <w:r>
      <w:rPr>
        <w:sz w:val="20"/>
        <w:lang w:val="pl"/>
      </w:rPr>
      <w:tab/>
    </w:r>
    <w:r>
      <w:rPr>
        <w:sz w:val="20"/>
        <w:lang w:val="pl"/>
      </w:rPr>
      <w:tab/>
    </w:r>
    <w:r>
      <w:rPr>
        <w:sz w:val="20"/>
        <w:lang w:val="pl"/>
      </w:rPr>
      <w:tab/>
    </w:r>
    <w:sdt>
      <w:sdtPr>
        <w:rPr>
          <w:sz w:val="20"/>
        </w:rPr>
        <w:id w:val="-2039499766"/>
        <w:docPartObj>
          <w:docPartGallery w:val="AutoText"/>
        </w:docPartObj>
      </w:sdtPr>
      <w:sdtContent>
        <w:r>
          <w:rPr>
            <w:sz w:val="20"/>
            <w:lang w:val="pl"/>
          </w:rPr>
          <w:fldChar w:fldCharType="begin"/>
        </w:r>
        <w:r>
          <w:rPr>
            <w:sz w:val="20"/>
            <w:lang w:val="pl"/>
          </w:rPr>
          <w:instrText xml:space="preserve"> PAGE   \* MERGEFORMAT </w:instrText>
        </w:r>
        <w:r>
          <w:rPr>
            <w:sz w:val="20"/>
            <w:lang w:val="pl"/>
          </w:rPr>
          <w:fldChar w:fldCharType="separate"/>
        </w:r>
        <w:r>
          <w:rPr>
            <w:sz w:val="20"/>
            <w:lang w:val="pl"/>
          </w:rPr>
          <w:t>2</w:t>
        </w:r>
        <w:r>
          <w:rPr>
            <w:sz w:val="20"/>
            <w:lang w:val="p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6D922" w14:textId="77777777" w:rsidR="00794262" w:rsidRDefault="00794262">
      <w:r>
        <w:separator/>
      </w:r>
    </w:p>
  </w:footnote>
  <w:footnote w:type="continuationSeparator" w:id="0">
    <w:p w14:paraId="611F60D0" w14:textId="77777777" w:rsidR="00794262" w:rsidRDefault="00794262">
      <w:r>
        <w:continuationSeparator/>
      </w:r>
    </w:p>
  </w:footnote>
  <w:footnote w:id="1">
    <w:p w14:paraId="5681DAB7" w14:textId="5D5FF794" w:rsidR="00062017" w:rsidRDefault="002916ED">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sidR="00662139">
        <w:rPr>
          <w:rFonts w:ascii="Lato" w:hAnsi="Lato" w:cs="Arial"/>
          <w:sz w:val="18"/>
          <w:szCs w:val="18"/>
        </w:rPr>
        <w:t xml:space="preserve">rozporządzenie </w:t>
      </w:r>
      <w:r>
        <w:rPr>
          <w:rFonts w:ascii="Lato" w:hAnsi="Lato" w:cs="Arial"/>
          <w:sz w:val="18"/>
          <w:szCs w:val="18"/>
        </w:rPr>
        <w:t xml:space="preserve">Parlamentu Europejskiego i Rady (UE) nr 2016/679 z dnia 27 kwietnia 2016 r. w sprawie ochrony </w:t>
      </w:r>
      <w:r>
        <w:rPr>
          <w:rFonts w:ascii="Lato" w:hAnsi="Lato" w:cs="Arial"/>
          <w:sz w:val="18"/>
          <w:szCs w:val="18"/>
        </w:rPr>
        <w:br/>
        <w:t xml:space="preserve">osób fizycznych w związku z przetwarzaniem danych osobowych i w sprawie swobodnego przepływu takich danych </w:t>
      </w:r>
      <w:r>
        <w:rPr>
          <w:rFonts w:ascii="Lato" w:hAnsi="Lato" w:cs="Arial"/>
          <w:sz w:val="18"/>
          <w:szCs w:val="18"/>
        </w:rPr>
        <w:br/>
        <w:t xml:space="preserve">oraz uchylenia dyrektywy 95/46/WE (ogólne rozporządzenie o ochronie danych) </w:t>
      </w:r>
      <w:r>
        <w:rPr>
          <w:rFonts w:ascii="Lato" w:eastAsia="Arial" w:hAnsi="Lato" w:cs="Arial"/>
          <w:sz w:val="18"/>
          <w:szCs w:val="18"/>
        </w:rPr>
        <w:t xml:space="preserve">(Dz. Urz. UE L 119 z 04.05.2016, str. 1, </w:t>
      </w:r>
      <w:r>
        <w:rPr>
          <w:rFonts w:ascii="Lato" w:eastAsia="Arial" w:hAnsi="Lato" w:cs="Arial"/>
          <w:sz w:val="18"/>
          <w:szCs w:val="18"/>
        </w:rPr>
        <w:br/>
        <w:t>Dz. Urz. UE L 127 z 23.05.2018, str. 2 oraz Dz. Urz. UE L 74 z 4.03.2021, str. 35)</w:t>
      </w:r>
    </w:p>
  </w:footnote>
  <w:footnote w:id="2">
    <w:p w14:paraId="4EB07C84"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Brak definicji nowych technologii (zależy od kontekstu/okoliczności). Jedna z możliwych (przykładowych) definicji znajduje się w art. 2 pkt 114 rozporządzenia Komisji (UE) Nr 651/2014 z dnia 17 czerwca 2014 r. uznające niektóre rodzaje pomocy za zgodne z rynkiem wewnętrznym w zastosowaniu art. 107 i 108 Traktatu (Dz. Urz. UE L 187 z 26.6.2014, str. 1) - nowa i innowacyjna technologia oznacza nową i niesprawdzoną technologię w porównaniu z aktualną sytuacją w branży, która to technologia niesie z sobą ryzyko niepowodzenia technologicznego lub przemysłowego i nie stanowi optymalizacji ani udoskonalenia istniejącej technologii.</w:t>
      </w:r>
    </w:p>
  </w:footnote>
  <w:footnote w:id="3">
    <w:p w14:paraId="63A5AC38"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 xml:space="preserve">Czy tylko prawodawcza? Czy po przyjęciu aktu powstanie zbiór danych, których administratorem </w:t>
      </w:r>
      <w:r>
        <w:rPr>
          <w:rFonts w:ascii="Lato" w:eastAsia="Times New Roman" w:hAnsi="Lato" w:cs="Arial"/>
          <w:sz w:val="18"/>
          <w:szCs w:val="18"/>
          <w:lang w:eastAsia="pl-PL"/>
        </w:rPr>
        <w:br/>
        <w:t xml:space="preserve">lub </w:t>
      </w:r>
      <w:proofErr w:type="spellStart"/>
      <w:r>
        <w:rPr>
          <w:rFonts w:ascii="Lato" w:eastAsia="Times New Roman" w:hAnsi="Lato" w:cs="Arial"/>
          <w:sz w:val="18"/>
          <w:szCs w:val="18"/>
          <w:lang w:eastAsia="pl-PL"/>
        </w:rPr>
        <w:t>współadministratorem</w:t>
      </w:r>
      <w:proofErr w:type="spellEnd"/>
      <w:r>
        <w:rPr>
          <w:rFonts w:ascii="Lato" w:eastAsia="Times New Roman" w:hAnsi="Lato" w:cs="Arial"/>
          <w:sz w:val="18"/>
          <w:szCs w:val="18"/>
          <w:lang w:eastAsia="pl-PL"/>
        </w:rPr>
        <w:t xml:space="preserve"> danych osobowych będzie Minister Zdrowia?</w:t>
      </w:r>
    </w:p>
  </w:footnote>
  <w:footnote w:id="4">
    <w:p w14:paraId="65CCB922"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Instytucje, organy, podmioty które staną się administratorami/</w:t>
      </w:r>
      <w:proofErr w:type="spellStart"/>
      <w:r>
        <w:rPr>
          <w:rFonts w:ascii="Lato" w:eastAsia="Times New Roman" w:hAnsi="Lato" w:cs="Arial"/>
          <w:sz w:val="18"/>
          <w:szCs w:val="18"/>
          <w:lang w:eastAsia="pl-PL"/>
        </w:rPr>
        <w:t>współadministratorami</w:t>
      </w:r>
      <w:proofErr w:type="spellEnd"/>
      <w:r>
        <w:rPr>
          <w:rFonts w:ascii="Lato" w:eastAsia="Times New Roman" w:hAnsi="Lato" w:cs="Arial"/>
          <w:sz w:val="18"/>
          <w:szCs w:val="18"/>
          <w:lang w:eastAsia="pl-PL"/>
        </w:rPr>
        <w:t xml:space="preserve"> danych osobowych.</w:t>
      </w:r>
    </w:p>
  </w:footnote>
  <w:footnote w:id="5">
    <w:p w14:paraId="79E7308E"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Na jakim obszarze będą przetwarzane dane osobowe (jeżeli na etapie projektowania można wskazać)?</w:t>
      </w:r>
    </w:p>
  </w:footnote>
  <w:footnote w:id="6">
    <w:p w14:paraId="353EA44F"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Czy dane będą pozyskiwane bezpośrednio od osób fizycznych lub udostępniane przez inny podmiot?</w:t>
      </w:r>
    </w:p>
  </w:footnote>
  <w:footnote w:id="7">
    <w:p w14:paraId="3F3233C1"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eastAsia="Times New Roman" w:hAnsi="Lato" w:cs="Arial"/>
          <w:sz w:val="18"/>
          <w:szCs w:val="18"/>
          <w:lang w:eastAsia="pl-PL"/>
        </w:rPr>
        <w:tab/>
        <w:t>Jeżeli na etapie projektowania można wskazać.</w:t>
      </w:r>
    </w:p>
  </w:footnote>
  <w:footnote w:id="8">
    <w:p w14:paraId="03F850C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Wynika z: art. 35 ust. 7 lit. a RODO. W opisie należy uwzględnić charakter, zakres, kontekst i cele przetwarzania (motyw </w:t>
      </w:r>
      <w:r>
        <w:rPr>
          <w:rFonts w:ascii="Lato" w:hAnsi="Lato" w:cs="Arial"/>
          <w:sz w:val="18"/>
          <w:szCs w:val="18"/>
        </w:rPr>
        <w:br/>
        <w:t>90 RODO) oraz przedstawić funkcjonalny opis operacji przetwarzania, tj. w jaki sposób dane będą gromadzone, wykorzystywane, przechowywane i usuwane (cykl życia danych), skąd będą pochodzić, komu będą udostępniane (przepływ danych), czy będą przetwarzane w sposób zautomatyzowany czy nie.</w:t>
      </w:r>
    </w:p>
  </w:footnote>
  <w:footnote w:id="9">
    <w:p w14:paraId="683F97B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Jaka będzie natura relacji osób fizycznych z administratorem, kontrola nad danymi, wykorzystanie danych, czy dotyczy dzieci lub grup szczególnie wrażliwych, czy istnieją obawy dotyczące tego rodzaju przetwarzania lub luk w zabezpieczeniach, czy rozwiązanie jest innowacyjne/nowatorskie, jaki jest obecny stan technologii w dziedzinie, czy są kwestie budzące obawy opinii publicznej które należy wziąć pod uwagę.</w:t>
      </w:r>
    </w:p>
  </w:footnote>
  <w:footnote w:id="10">
    <w:p w14:paraId="6AAC34E0" w14:textId="77777777" w:rsidR="00411025" w:rsidRDefault="00411025">
      <w:pPr>
        <w:pStyle w:val="Tekstprzypisudolnego"/>
        <w:ind w:left="284" w:hanging="284"/>
        <w:jc w:val="both"/>
        <w:rPr>
          <w:rFonts w:ascii="Arial" w:hAnsi="Arial"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Należy wskazać, czy przetwarzanie dotyczy zwykłych danych osobowych (np. imię i nazwisko, numer telefonu, numer PESEL) czy szczególnej kategorii danych osobowych (np. dane dotyczące zdrowia, dane genetyczne, dane biometryczne – wskazane w art. 9 ust. 1 RODO).</w:t>
      </w:r>
      <w:r>
        <w:rPr>
          <w:rFonts w:ascii="Arial" w:hAnsi="Arial" w:cs="Arial"/>
          <w:sz w:val="18"/>
          <w:szCs w:val="18"/>
        </w:rPr>
        <w:t xml:space="preserve"> </w:t>
      </w:r>
    </w:p>
  </w:footnote>
  <w:footnote w:id="11">
    <w:p w14:paraId="6B7556B4"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Należy wskazać dane osobowe, których przetwarzanie dotyczy (należy wymienić cały wolumen danych, np. imię, nazwisko, numer PESEL, itp.). </w:t>
      </w:r>
    </w:p>
  </w:footnote>
  <w:footnote w:id="12">
    <w:p w14:paraId="0F8C35B9"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Aktywa, np. sprzęt komputerowy, oprogramowanie, sieci, osoby, opracowania lub kanały transmisji, systemy teleinformatyczne.</w:t>
      </w:r>
    </w:p>
  </w:footnote>
  <w:footnote w:id="13">
    <w:p w14:paraId="10F5B74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„Odbiorca” zgodnie z art. 4 pkt. 9 RODO oznacza osobę fizyczną lub prawną, organ publiczny, jednostkę lub inny podmiot, któremu ujawnia się dane osobowe, niezależnie od tego, czy jest stroną trzecią. Organy publiczne, które mogą otrzymywać dane osobowe w ramach konkretnego postępowania zgodnie z prawem Unii lub prawem państwa członkowskiego, nie są jednak uznawane za odbiorców.</w:t>
      </w:r>
    </w:p>
  </w:footnote>
  <w:footnote w:id="14">
    <w:p w14:paraId="3D84D3B1"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Okres przez który dane osobowe będą przechowywane, a gdy nie jest to możliwe </w:t>
      </w:r>
      <w:bookmarkStart w:id="0" w:name="_Hlk101689896"/>
      <w:r>
        <w:rPr>
          <w:rFonts w:ascii="Lato" w:hAnsi="Lato" w:cs="Arial"/>
          <w:sz w:val="18"/>
          <w:szCs w:val="18"/>
        </w:rPr>
        <w:t>–</w:t>
      </w:r>
      <w:bookmarkEnd w:id="0"/>
      <w:r>
        <w:rPr>
          <w:rFonts w:ascii="Lato" w:hAnsi="Lato" w:cs="Arial"/>
          <w:sz w:val="18"/>
          <w:szCs w:val="18"/>
        </w:rPr>
        <w:t xml:space="preserve"> kryteria ustalenia tego okresu.</w:t>
      </w:r>
    </w:p>
  </w:footnote>
  <w:footnote w:id="15">
    <w:p w14:paraId="2BBA1048"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Jaki jest cel przetwarzania, jaki cel zostanie osiągnięty, jaki jest zamierzony wpływ na osoby. Zgodnie z art. 5 ust. 1 lit. b RODO dane osobowe muszą być zbierane w konkretnych, wyraźnych i prawnie uzasadnionych celach i nieprzetwarzanie dalej w sposób niezgodny z tymi celami.</w:t>
      </w:r>
    </w:p>
  </w:footnote>
  <w:footnote w:id="16">
    <w:p w14:paraId="1C0F71FA" w14:textId="77777777" w:rsidR="00411025" w:rsidRDefault="00411025">
      <w:pPr>
        <w:pStyle w:val="Tekstprzypisudolnego"/>
        <w:ind w:left="284" w:hanging="284"/>
        <w:jc w:val="both"/>
        <w:rPr>
          <w:rFonts w:ascii="Lato" w:hAnsi="Lato" w:cs="Arial"/>
          <w:bCs/>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Czy przetwarzanie rzeczywiście jest konieczne, czy istnieje inny sposób na osiągnięcie tego samego celu lub wyniku? </w:t>
      </w:r>
      <w:r>
        <w:rPr>
          <w:rFonts w:ascii="Lato" w:hAnsi="Lato" w:cs="Arial"/>
          <w:sz w:val="18"/>
          <w:szCs w:val="18"/>
        </w:rPr>
        <w:br/>
        <w:t>W jaki sposób zapewniona zostanie poprawność gromadzonych danych? Czy zapewniona zostanie minimalizacja danych? Czy</w:t>
      </w:r>
      <w:r>
        <w:rPr>
          <w:rFonts w:ascii="Lato" w:hAnsi="Lato" w:cs="Arial"/>
          <w:b/>
          <w:sz w:val="18"/>
          <w:szCs w:val="18"/>
        </w:rPr>
        <w:t xml:space="preserve"> </w:t>
      </w:r>
      <w:r>
        <w:rPr>
          <w:rFonts w:ascii="Lato" w:hAnsi="Lato" w:cs="Arial"/>
          <w:bCs/>
          <w:sz w:val="18"/>
          <w:szCs w:val="18"/>
        </w:rPr>
        <w:t xml:space="preserve">osoby będą miały możliwość realizacji praw? Środki, których podjęcie jest planowane w celu zapewnienia przestrzegania RODO uwzględniając: </w:t>
      </w:r>
    </w:p>
    <w:p w14:paraId="179432CE" w14:textId="77777777" w:rsidR="00411025" w:rsidRDefault="00411025">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proporcjonalności i niezbędności przetwarzania, z uwzględnieniem następujących aspektów:</w:t>
      </w:r>
    </w:p>
    <w:p w14:paraId="2B6DB80B"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konkretne, wyraźne i prawnie uzasadnione cele (art. 5 ust. 1 lit. b RODO),</w:t>
      </w:r>
    </w:p>
    <w:p w14:paraId="2B3A421C"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zgodność przetwarzania z prawem (art. 6 RODO),</w:t>
      </w:r>
    </w:p>
    <w:p w14:paraId="7506E3EA"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 xml:space="preserve">dane adekwatne, stosowne oraz ograniczone do tego, co niezbędne do celów, w których są przetwarzane </w:t>
      </w:r>
      <w:r>
        <w:rPr>
          <w:rFonts w:ascii="Lato" w:hAnsi="Lato" w:cs="Arial"/>
          <w:sz w:val="18"/>
          <w:szCs w:val="18"/>
        </w:rPr>
        <w:br/>
        <w:t>(art. 5 ust. 1 lit. c RODO),</w:t>
      </w:r>
    </w:p>
    <w:p w14:paraId="24628D9B"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ograniczony czas przechowywania (art. 5 ust. 1 lit. e RODO);</w:t>
      </w:r>
    </w:p>
    <w:p w14:paraId="73DF480D" w14:textId="77777777" w:rsidR="00411025" w:rsidRDefault="00411025">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zachowania praw osób, których dane dotyczą:</w:t>
      </w:r>
    </w:p>
    <w:p w14:paraId="57DC0545"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poinformowanie osoby, której dane dotyczą (art. 12, 13, 14 RODO),</w:t>
      </w:r>
    </w:p>
    <w:p w14:paraId="2EC30D4C"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prawo dostępu, sprostowania, usunięcia danych, prawo do sprzeciwu, ograniczenia przetwarzania oraz przenoszenia danych osobowych (art. 15, 16, 17, 18, 19, 20, 21 RODO),</w:t>
      </w:r>
    </w:p>
    <w:p w14:paraId="0BE1DF4D"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relacje z podmiotem przetwarzającym dane (art. 28 RODO),</w:t>
      </w:r>
    </w:p>
    <w:p w14:paraId="73403368"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zabezpieczenia przy międzynarodowym przekazywaniu danych (rozdział V RODO),</w:t>
      </w:r>
    </w:p>
    <w:p w14:paraId="010123F5"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uprzednie konsultacje (art. 36 RODO).</w:t>
      </w:r>
    </w:p>
  </w:footnote>
  <w:footnote w:id="17">
    <w:p w14:paraId="23CD1532" w14:textId="77777777" w:rsidR="00411025" w:rsidRDefault="00411025">
      <w:pPr>
        <w:pStyle w:val="Tekstprzypisudolnego"/>
        <w:tabs>
          <w:tab w:val="left" w:pos="284"/>
        </w:tabs>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Kryteria konieczności przeprowadzenia oceny skutków dla ochrony danych, o których mowa w art. 35 ust. 3 RODO. </w:t>
      </w:r>
    </w:p>
  </w:footnote>
  <w:footnote w:id="18">
    <w:p w14:paraId="0DB2D292"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Zgodnie z motywem 91 RODO operacje przetwarzania o dużej skali to operacje, które s</w:t>
      </w:r>
      <w:r>
        <w:rPr>
          <w:rStyle w:val="hgkelc"/>
          <w:rFonts w:ascii="Lato" w:hAnsi="Lato"/>
          <w:sz w:val="18"/>
          <w:szCs w:val="18"/>
        </w:rPr>
        <w:t>łużą przetwarzaniu znacznej ilości danych osobowych na szczeblu regionalnym, krajowym lub ponadnarodowym i które mogą wpłynąć na dużą liczbę osób, których dane dotyczą, oraz które mogą powodować wysokie ryzyko.</w:t>
      </w:r>
    </w:p>
  </w:footnote>
  <w:footnote w:id="19">
    <w:p w14:paraId="2044DAE2" w14:textId="12D16375"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M.</w:t>
      </w:r>
      <w:r w:rsidR="00BD73B2">
        <w:rPr>
          <w:rFonts w:ascii="Lato" w:hAnsi="Lato" w:cs="Arial"/>
          <w:sz w:val="18"/>
          <w:szCs w:val="18"/>
        </w:rPr>
        <w:t xml:space="preserve"> </w:t>
      </w:r>
      <w:r>
        <w:rPr>
          <w:rFonts w:ascii="Lato" w:hAnsi="Lato" w:cs="Arial"/>
          <w:sz w:val="18"/>
          <w:szCs w:val="18"/>
        </w:rPr>
        <w:t>P. z 2019 r. poz. 666 (</w:t>
      </w:r>
      <w:hyperlink r:id="rId1" w:history="1">
        <w:r>
          <w:rPr>
            <w:rStyle w:val="Hipercze"/>
            <w:rFonts w:ascii="Lato" w:hAnsi="Lato" w:cs="Arial"/>
            <w:sz w:val="18"/>
            <w:szCs w:val="18"/>
          </w:rPr>
          <w:t>https://isap.sejm.gov.pl/isap.nsf/DocDetails.xsp?id=WMP20190000666</w:t>
        </w:r>
      </w:hyperlink>
      <w:r>
        <w:rPr>
          <w:rFonts w:ascii="Lato" w:hAnsi="Lato" w:cs="Arial"/>
          <w:sz w:val="18"/>
          <w:szCs w:val="18"/>
        </w:rPr>
        <w:t xml:space="preserve">).  </w:t>
      </w:r>
    </w:p>
  </w:footnote>
  <w:footnote w:id="20">
    <w:p w14:paraId="0C8DD5E7" w14:textId="77777777" w:rsidR="00411025" w:rsidRDefault="00411025">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Jeżeli w tabeli IV zostało zdefiniowane ryzyko na poziomie „średnim lub wysokim należy uzupełnić tabelę nr V.</w:t>
      </w:r>
    </w:p>
  </w:footnote>
  <w:footnote w:id="21">
    <w:p w14:paraId="3853A6D1" w14:textId="437AA9E1" w:rsidR="00411025" w:rsidRDefault="00411025">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r>
      <w:r>
        <w:rPr>
          <w:rFonts w:ascii="Lato" w:hAnsi="Lato" w:cstheme="minorHAnsi"/>
          <w:sz w:val="18"/>
          <w:szCs w:val="18"/>
        </w:rPr>
        <w:t xml:space="preserve">Zgodnie z </w:t>
      </w:r>
      <w:r>
        <w:rPr>
          <w:rFonts w:ascii="Lato" w:eastAsia="Times New Roman" w:hAnsi="Lato" w:cstheme="minorHAnsi"/>
          <w:sz w:val="18"/>
          <w:szCs w:val="18"/>
        </w:rPr>
        <w:t>§ 9</w:t>
      </w:r>
      <w:r>
        <w:rPr>
          <w:rFonts w:ascii="Lato" w:eastAsia="Times New Roman" w:hAnsi="Lato" w:cs="Times New Roman"/>
          <w:sz w:val="18"/>
          <w:szCs w:val="18"/>
        </w:rPr>
        <w:t xml:space="preserve"> zarządzenia Ministra Zdrowia z dnia 24 listopada 2023 r. w sprawie prowadzenia prac legislacyjnych w Ministerstwie Zdrowia (Dz. Urz. Min. </w:t>
      </w:r>
      <w:proofErr w:type="spellStart"/>
      <w:r>
        <w:rPr>
          <w:rFonts w:ascii="Lato" w:eastAsia="Times New Roman" w:hAnsi="Lato" w:cs="Times New Roman"/>
          <w:sz w:val="18"/>
          <w:szCs w:val="18"/>
        </w:rPr>
        <w:t>Zdrow</w:t>
      </w:r>
      <w:proofErr w:type="spellEnd"/>
      <w:r>
        <w:rPr>
          <w:rFonts w:ascii="Lato" w:eastAsia="Times New Roman" w:hAnsi="Lato" w:cs="Times New Roman"/>
          <w:sz w:val="18"/>
          <w:szCs w:val="18"/>
        </w:rPr>
        <w:t>. poz. 107) komórka organizacyjna przygotowując ocenę skutków dla ochrony danych, w przypadku wątpliwości może konsultować ją z Inspektorem Ochrony Danych w Ministerstwie.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47EE2"/>
    <w:multiLevelType w:val="multilevel"/>
    <w:tmpl w:val="0CB47EE2"/>
    <w:lvl w:ilvl="0">
      <w:start w:val="1"/>
      <w:numFmt w:val="decimal"/>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B375A2"/>
    <w:multiLevelType w:val="hybridMultilevel"/>
    <w:tmpl w:val="80B63CC0"/>
    <w:lvl w:ilvl="0" w:tplc="A2D69402">
      <w:start w:val="1"/>
      <w:numFmt w:val="decimal"/>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2" w15:restartNumberingAfterBreak="0">
    <w:nsid w:val="4C58064A"/>
    <w:multiLevelType w:val="multilevel"/>
    <w:tmpl w:val="4C58064A"/>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C84130"/>
    <w:multiLevelType w:val="multilevel"/>
    <w:tmpl w:val="5BC84130"/>
    <w:lvl w:ilvl="0">
      <w:start w:val="1"/>
      <w:numFmt w:val="lowerLetter"/>
      <w:lvlText w:val="%1)"/>
      <w:lvlJc w:val="left"/>
      <w:pPr>
        <w:ind w:left="428" w:hanging="360"/>
      </w:pPr>
      <w:rPr>
        <w:rFonts w:hint="default"/>
        <w:b w:val="0"/>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4" w15:restartNumberingAfterBreak="0">
    <w:nsid w:val="5C725679"/>
    <w:multiLevelType w:val="multilevel"/>
    <w:tmpl w:val="5C72567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65816280"/>
    <w:multiLevelType w:val="multilevel"/>
    <w:tmpl w:val="65816280"/>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7B4558"/>
    <w:multiLevelType w:val="multilevel"/>
    <w:tmpl w:val="757B45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765152393">
    <w:abstractNumId w:val="0"/>
  </w:num>
  <w:num w:numId="2" w16cid:durableId="1468083264">
    <w:abstractNumId w:val="4"/>
  </w:num>
  <w:num w:numId="3" w16cid:durableId="1127233551">
    <w:abstractNumId w:val="6"/>
  </w:num>
  <w:num w:numId="4" w16cid:durableId="270163411">
    <w:abstractNumId w:val="5"/>
  </w:num>
  <w:num w:numId="5" w16cid:durableId="938871686">
    <w:abstractNumId w:val="3"/>
  </w:num>
  <w:num w:numId="6" w16cid:durableId="1681396288">
    <w:abstractNumId w:val="2"/>
  </w:num>
  <w:num w:numId="7" w16cid:durableId="559705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F45"/>
    <w:rsid w:val="00000B98"/>
    <w:rsid w:val="0000396A"/>
    <w:rsid w:val="00005269"/>
    <w:rsid w:val="000112DF"/>
    <w:rsid w:val="0001237C"/>
    <w:rsid w:val="0001277B"/>
    <w:rsid w:val="00012A34"/>
    <w:rsid w:val="00013DC8"/>
    <w:rsid w:val="000176A2"/>
    <w:rsid w:val="00017BAF"/>
    <w:rsid w:val="00022AAF"/>
    <w:rsid w:val="00032D2F"/>
    <w:rsid w:val="000336F3"/>
    <w:rsid w:val="00034106"/>
    <w:rsid w:val="00034D1F"/>
    <w:rsid w:val="00035C30"/>
    <w:rsid w:val="00036238"/>
    <w:rsid w:val="00042A6D"/>
    <w:rsid w:val="00042DEB"/>
    <w:rsid w:val="0004371B"/>
    <w:rsid w:val="00047326"/>
    <w:rsid w:val="0005168F"/>
    <w:rsid w:val="000551C6"/>
    <w:rsid w:val="0006144C"/>
    <w:rsid w:val="00062017"/>
    <w:rsid w:val="0006557D"/>
    <w:rsid w:val="00065783"/>
    <w:rsid w:val="00066757"/>
    <w:rsid w:val="000667F7"/>
    <w:rsid w:val="000959FF"/>
    <w:rsid w:val="00095A70"/>
    <w:rsid w:val="00097004"/>
    <w:rsid w:val="000975DB"/>
    <w:rsid w:val="000A3862"/>
    <w:rsid w:val="000A65E8"/>
    <w:rsid w:val="000B6F3B"/>
    <w:rsid w:val="000C1A3E"/>
    <w:rsid w:val="000C31E8"/>
    <w:rsid w:val="000C60FE"/>
    <w:rsid w:val="000C7F03"/>
    <w:rsid w:val="000D26B4"/>
    <w:rsid w:val="000D6A17"/>
    <w:rsid w:val="000D6F8F"/>
    <w:rsid w:val="000E5A82"/>
    <w:rsid w:val="000E6A56"/>
    <w:rsid w:val="000E7860"/>
    <w:rsid w:val="000F0871"/>
    <w:rsid w:val="000F3FF7"/>
    <w:rsid w:val="000F4DA5"/>
    <w:rsid w:val="00101CD9"/>
    <w:rsid w:val="0010236E"/>
    <w:rsid w:val="00104C9E"/>
    <w:rsid w:val="00107727"/>
    <w:rsid w:val="00110DF0"/>
    <w:rsid w:val="001217BE"/>
    <w:rsid w:val="00123C6D"/>
    <w:rsid w:val="001363EF"/>
    <w:rsid w:val="00156144"/>
    <w:rsid w:val="00160C1D"/>
    <w:rsid w:val="00160C9C"/>
    <w:rsid w:val="0016508C"/>
    <w:rsid w:val="001700B9"/>
    <w:rsid w:val="00172D60"/>
    <w:rsid w:val="00175264"/>
    <w:rsid w:val="001763C3"/>
    <w:rsid w:val="0018139E"/>
    <w:rsid w:val="001814DD"/>
    <w:rsid w:val="00184633"/>
    <w:rsid w:val="001951BF"/>
    <w:rsid w:val="001962A7"/>
    <w:rsid w:val="001A4995"/>
    <w:rsid w:val="001B3736"/>
    <w:rsid w:val="001B3DEE"/>
    <w:rsid w:val="001B3E7F"/>
    <w:rsid w:val="001B5410"/>
    <w:rsid w:val="001B6597"/>
    <w:rsid w:val="001B7A98"/>
    <w:rsid w:val="001E4A99"/>
    <w:rsid w:val="001E542A"/>
    <w:rsid w:val="001F5A81"/>
    <w:rsid w:val="002046B7"/>
    <w:rsid w:val="00204F3B"/>
    <w:rsid w:val="00215BA4"/>
    <w:rsid w:val="00245600"/>
    <w:rsid w:val="00250931"/>
    <w:rsid w:val="00251E80"/>
    <w:rsid w:val="00260CCD"/>
    <w:rsid w:val="00264E33"/>
    <w:rsid w:val="00267EC1"/>
    <w:rsid w:val="00270CB8"/>
    <w:rsid w:val="00271598"/>
    <w:rsid w:val="00271A1D"/>
    <w:rsid w:val="002863EC"/>
    <w:rsid w:val="002916ED"/>
    <w:rsid w:val="00291877"/>
    <w:rsid w:val="002942A2"/>
    <w:rsid w:val="0029655F"/>
    <w:rsid w:val="002A25B6"/>
    <w:rsid w:val="002A470C"/>
    <w:rsid w:val="002A5229"/>
    <w:rsid w:val="002A56D2"/>
    <w:rsid w:val="002B1756"/>
    <w:rsid w:val="002B21AF"/>
    <w:rsid w:val="002B557C"/>
    <w:rsid w:val="002C25C4"/>
    <w:rsid w:val="002D47CF"/>
    <w:rsid w:val="002E3D0A"/>
    <w:rsid w:val="002F45BE"/>
    <w:rsid w:val="002F6A4E"/>
    <w:rsid w:val="002F6EB1"/>
    <w:rsid w:val="002F70D1"/>
    <w:rsid w:val="00301B75"/>
    <w:rsid w:val="0030644D"/>
    <w:rsid w:val="00307B0D"/>
    <w:rsid w:val="00315A61"/>
    <w:rsid w:val="00322B8A"/>
    <w:rsid w:val="00324355"/>
    <w:rsid w:val="00334B81"/>
    <w:rsid w:val="00335239"/>
    <w:rsid w:val="00336E4F"/>
    <w:rsid w:val="00340BB9"/>
    <w:rsid w:val="0034274F"/>
    <w:rsid w:val="003434A5"/>
    <w:rsid w:val="00350CB2"/>
    <w:rsid w:val="00352679"/>
    <w:rsid w:val="00352E94"/>
    <w:rsid w:val="00353798"/>
    <w:rsid w:val="003637F9"/>
    <w:rsid w:val="00365DE3"/>
    <w:rsid w:val="00367112"/>
    <w:rsid w:val="00374665"/>
    <w:rsid w:val="0037542F"/>
    <w:rsid w:val="00383FE0"/>
    <w:rsid w:val="00387523"/>
    <w:rsid w:val="003902B5"/>
    <w:rsid w:val="0039281F"/>
    <w:rsid w:val="0039316F"/>
    <w:rsid w:val="00394A63"/>
    <w:rsid w:val="00396529"/>
    <w:rsid w:val="00397F9F"/>
    <w:rsid w:val="003A0192"/>
    <w:rsid w:val="003A3FAB"/>
    <w:rsid w:val="003B371A"/>
    <w:rsid w:val="003B6C36"/>
    <w:rsid w:val="003C182E"/>
    <w:rsid w:val="003C285A"/>
    <w:rsid w:val="003E187C"/>
    <w:rsid w:val="003E1E04"/>
    <w:rsid w:val="003E5D4A"/>
    <w:rsid w:val="003F03D8"/>
    <w:rsid w:val="003F4C75"/>
    <w:rsid w:val="003F592A"/>
    <w:rsid w:val="0040285D"/>
    <w:rsid w:val="004050C6"/>
    <w:rsid w:val="00411025"/>
    <w:rsid w:val="0042141F"/>
    <w:rsid w:val="00422240"/>
    <w:rsid w:val="00426D5F"/>
    <w:rsid w:val="0043045A"/>
    <w:rsid w:val="00434197"/>
    <w:rsid w:val="00436273"/>
    <w:rsid w:val="00441427"/>
    <w:rsid w:val="00441F5B"/>
    <w:rsid w:val="004527CC"/>
    <w:rsid w:val="00455A1B"/>
    <w:rsid w:val="00456F53"/>
    <w:rsid w:val="00466011"/>
    <w:rsid w:val="0048110A"/>
    <w:rsid w:val="004812E8"/>
    <w:rsid w:val="0048248F"/>
    <w:rsid w:val="0048354A"/>
    <w:rsid w:val="00485F9A"/>
    <w:rsid w:val="0049238C"/>
    <w:rsid w:val="004A21D6"/>
    <w:rsid w:val="004B0A6E"/>
    <w:rsid w:val="004B478E"/>
    <w:rsid w:val="004B7418"/>
    <w:rsid w:val="004C1D95"/>
    <w:rsid w:val="004C2D29"/>
    <w:rsid w:val="004C5520"/>
    <w:rsid w:val="004C5EB8"/>
    <w:rsid w:val="004C7178"/>
    <w:rsid w:val="004D162D"/>
    <w:rsid w:val="004D1F08"/>
    <w:rsid w:val="004E19CB"/>
    <w:rsid w:val="004F7C6F"/>
    <w:rsid w:val="00501B2B"/>
    <w:rsid w:val="00503EDB"/>
    <w:rsid w:val="00506306"/>
    <w:rsid w:val="00511C53"/>
    <w:rsid w:val="00512516"/>
    <w:rsid w:val="00512AFC"/>
    <w:rsid w:val="0051552B"/>
    <w:rsid w:val="00521674"/>
    <w:rsid w:val="005245A7"/>
    <w:rsid w:val="00525F09"/>
    <w:rsid w:val="00526AFD"/>
    <w:rsid w:val="005312FB"/>
    <w:rsid w:val="00532E4B"/>
    <w:rsid w:val="0053350F"/>
    <w:rsid w:val="00546CB9"/>
    <w:rsid w:val="005550B2"/>
    <w:rsid w:val="005564BF"/>
    <w:rsid w:val="00562C0D"/>
    <w:rsid w:val="00564BB0"/>
    <w:rsid w:val="00574653"/>
    <w:rsid w:val="005801EB"/>
    <w:rsid w:val="00583AAF"/>
    <w:rsid w:val="00590F91"/>
    <w:rsid w:val="0059181D"/>
    <w:rsid w:val="00595B33"/>
    <w:rsid w:val="005B1AD0"/>
    <w:rsid w:val="005B722F"/>
    <w:rsid w:val="005C088C"/>
    <w:rsid w:val="005C66E0"/>
    <w:rsid w:val="005C6E5E"/>
    <w:rsid w:val="005D073C"/>
    <w:rsid w:val="005D6575"/>
    <w:rsid w:val="005F16EF"/>
    <w:rsid w:val="005F481C"/>
    <w:rsid w:val="005F7BAD"/>
    <w:rsid w:val="0060139B"/>
    <w:rsid w:val="00605B36"/>
    <w:rsid w:val="00611471"/>
    <w:rsid w:val="00617CF7"/>
    <w:rsid w:val="006226BC"/>
    <w:rsid w:val="00624D5D"/>
    <w:rsid w:val="00630911"/>
    <w:rsid w:val="00630F2B"/>
    <w:rsid w:val="00634F35"/>
    <w:rsid w:val="0063578B"/>
    <w:rsid w:val="00650881"/>
    <w:rsid w:val="00653D2D"/>
    <w:rsid w:val="0065731D"/>
    <w:rsid w:val="00662139"/>
    <w:rsid w:val="00663F2F"/>
    <w:rsid w:val="00672C41"/>
    <w:rsid w:val="00675DAF"/>
    <w:rsid w:val="00683556"/>
    <w:rsid w:val="006843D4"/>
    <w:rsid w:val="006857A6"/>
    <w:rsid w:val="006877AF"/>
    <w:rsid w:val="006943A4"/>
    <w:rsid w:val="0069510F"/>
    <w:rsid w:val="00695125"/>
    <w:rsid w:val="00696738"/>
    <w:rsid w:val="006A1231"/>
    <w:rsid w:val="006B061A"/>
    <w:rsid w:val="006B5681"/>
    <w:rsid w:val="006C33FA"/>
    <w:rsid w:val="006C46FA"/>
    <w:rsid w:val="006D05AD"/>
    <w:rsid w:val="006E1E27"/>
    <w:rsid w:val="006E4642"/>
    <w:rsid w:val="006F16F9"/>
    <w:rsid w:val="007075B9"/>
    <w:rsid w:val="0071294E"/>
    <w:rsid w:val="00717450"/>
    <w:rsid w:val="00724CB6"/>
    <w:rsid w:val="007361F8"/>
    <w:rsid w:val="00737174"/>
    <w:rsid w:val="00742281"/>
    <w:rsid w:val="0074434F"/>
    <w:rsid w:val="00751094"/>
    <w:rsid w:val="00757C46"/>
    <w:rsid w:val="007609CD"/>
    <w:rsid w:val="00761153"/>
    <w:rsid w:val="00761DC5"/>
    <w:rsid w:val="00766E7D"/>
    <w:rsid w:val="007674DB"/>
    <w:rsid w:val="00771429"/>
    <w:rsid w:val="00773691"/>
    <w:rsid w:val="00774809"/>
    <w:rsid w:val="00776332"/>
    <w:rsid w:val="00776C6A"/>
    <w:rsid w:val="00791365"/>
    <w:rsid w:val="00794262"/>
    <w:rsid w:val="00795F33"/>
    <w:rsid w:val="00796142"/>
    <w:rsid w:val="00796F14"/>
    <w:rsid w:val="007B1FDB"/>
    <w:rsid w:val="007B2732"/>
    <w:rsid w:val="007B411B"/>
    <w:rsid w:val="007B7594"/>
    <w:rsid w:val="007C37D3"/>
    <w:rsid w:val="007C38EF"/>
    <w:rsid w:val="007D1297"/>
    <w:rsid w:val="007D142A"/>
    <w:rsid w:val="007D249B"/>
    <w:rsid w:val="007D33C8"/>
    <w:rsid w:val="007D61E9"/>
    <w:rsid w:val="007E352D"/>
    <w:rsid w:val="007E4942"/>
    <w:rsid w:val="007E5520"/>
    <w:rsid w:val="008032B3"/>
    <w:rsid w:val="00806EF4"/>
    <w:rsid w:val="00815CE4"/>
    <w:rsid w:val="00817957"/>
    <w:rsid w:val="00821712"/>
    <w:rsid w:val="00821A51"/>
    <w:rsid w:val="008221FD"/>
    <w:rsid w:val="0083147C"/>
    <w:rsid w:val="008470FE"/>
    <w:rsid w:val="00850B7D"/>
    <w:rsid w:val="0085111F"/>
    <w:rsid w:val="00851231"/>
    <w:rsid w:val="008529E9"/>
    <w:rsid w:val="00853179"/>
    <w:rsid w:val="008556A2"/>
    <w:rsid w:val="00856383"/>
    <w:rsid w:val="00856A22"/>
    <w:rsid w:val="00857A9B"/>
    <w:rsid w:val="00857B3B"/>
    <w:rsid w:val="0086451C"/>
    <w:rsid w:val="008655B8"/>
    <w:rsid w:val="00866EC2"/>
    <w:rsid w:val="00871776"/>
    <w:rsid w:val="0087425C"/>
    <w:rsid w:val="008817C3"/>
    <w:rsid w:val="00882A2D"/>
    <w:rsid w:val="00885F30"/>
    <w:rsid w:val="00887E91"/>
    <w:rsid w:val="008A6D43"/>
    <w:rsid w:val="008A7082"/>
    <w:rsid w:val="008A7C97"/>
    <w:rsid w:val="008B28BC"/>
    <w:rsid w:val="008C495E"/>
    <w:rsid w:val="008C60AC"/>
    <w:rsid w:val="008C7E87"/>
    <w:rsid w:val="008E03A3"/>
    <w:rsid w:val="008E10F3"/>
    <w:rsid w:val="008E3330"/>
    <w:rsid w:val="008E6918"/>
    <w:rsid w:val="008F0012"/>
    <w:rsid w:val="008F0BA6"/>
    <w:rsid w:val="008F22BA"/>
    <w:rsid w:val="008F74BD"/>
    <w:rsid w:val="0091077B"/>
    <w:rsid w:val="00922C34"/>
    <w:rsid w:val="00926003"/>
    <w:rsid w:val="00930393"/>
    <w:rsid w:val="00934A1F"/>
    <w:rsid w:val="00935840"/>
    <w:rsid w:val="009624B4"/>
    <w:rsid w:val="00963B7A"/>
    <w:rsid w:val="00964FFD"/>
    <w:rsid w:val="0097141C"/>
    <w:rsid w:val="009778EF"/>
    <w:rsid w:val="00980993"/>
    <w:rsid w:val="00985AA8"/>
    <w:rsid w:val="00986C75"/>
    <w:rsid w:val="009875CA"/>
    <w:rsid w:val="009926C6"/>
    <w:rsid w:val="009975F0"/>
    <w:rsid w:val="009B2246"/>
    <w:rsid w:val="009B4AAF"/>
    <w:rsid w:val="009B5038"/>
    <w:rsid w:val="009C1F78"/>
    <w:rsid w:val="009C601B"/>
    <w:rsid w:val="009D0016"/>
    <w:rsid w:val="009D05B9"/>
    <w:rsid w:val="009D1ED4"/>
    <w:rsid w:val="009D36AA"/>
    <w:rsid w:val="009D4FED"/>
    <w:rsid w:val="009F35EC"/>
    <w:rsid w:val="009F5109"/>
    <w:rsid w:val="009F567A"/>
    <w:rsid w:val="00A013E8"/>
    <w:rsid w:val="00A04F9D"/>
    <w:rsid w:val="00A07646"/>
    <w:rsid w:val="00A107C9"/>
    <w:rsid w:val="00A1386B"/>
    <w:rsid w:val="00A14D26"/>
    <w:rsid w:val="00A15958"/>
    <w:rsid w:val="00A15E77"/>
    <w:rsid w:val="00A23CD0"/>
    <w:rsid w:val="00A25307"/>
    <w:rsid w:val="00A40670"/>
    <w:rsid w:val="00A50319"/>
    <w:rsid w:val="00A63285"/>
    <w:rsid w:val="00A65733"/>
    <w:rsid w:val="00A72813"/>
    <w:rsid w:val="00A74BA9"/>
    <w:rsid w:val="00A75016"/>
    <w:rsid w:val="00A80D46"/>
    <w:rsid w:val="00A82C58"/>
    <w:rsid w:val="00A93434"/>
    <w:rsid w:val="00A93461"/>
    <w:rsid w:val="00A9449A"/>
    <w:rsid w:val="00AA0AC8"/>
    <w:rsid w:val="00AB2E66"/>
    <w:rsid w:val="00AC2DE6"/>
    <w:rsid w:val="00AC46A4"/>
    <w:rsid w:val="00AC5EE6"/>
    <w:rsid w:val="00AC67F5"/>
    <w:rsid w:val="00AD1D69"/>
    <w:rsid w:val="00AE702C"/>
    <w:rsid w:val="00AE7155"/>
    <w:rsid w:val="00AF1B30"/>
    <w:rsid w:val="00AF7EA7"/>
    <w:rsid w:val="00B033DB"/>
    <w:rsid w:val="00B11EA0"/>
    <w:rsid w:val="00B12DD7"/>
    <w:rsid w:val="00B21F45"/>
    <w:rsid w:val="00B3418F"/>
    <w:rsid w:val="00B35F6E"/>
    <w:rsid w:val="00B3683A"/>
    <w:rsid w:val="00B427AE"/>
    <w:rsid w:val="00B436B7"/>
    <w:rsid w:val="00B45BA9"/>
    <w:rsid w:val="00B51693"/>
    <w:rsid w:val="00B67010"/>
    <w:rsid w:val="00B83DD4"/>
    <w:rsid w:val="00B86D61"/>
    <w:rsid w:val="00B92A39"/>
    <w:rsid w:val="00BA0D1D"/>
    <w:rsid w:val="00BA2516"/>
    <w:rsid w:val="00BA6E20"/>
    <w:rsid w:val="00BA7CB2"/>
    <w:rsid w:val="00BB0B24"/>
    <w:rsid w:val="00BB0D4C"/>
    <w:rsid w:val="00BC1F5C"/>
    <w:rsid w:val="00BC2648"/>
    <w:rsid w:val="00BC3382"/>
    <w:rsid w:val="00BC3511"/>
    <w:rsid w:val="00BC55BE"/>
    <w:rsid w:val="00BD2DBF"/>
    <w:rsid w:val="00BD72BF"/>
    <w:rsid w:val="00BD73B2"/>
    <w:rsid w:val="00BF069C"/>
    <w:rsid w:val="00BF4BF4"/>
    <w:rsid w:val="00C043F5"/>
    <w:rsid w:val="00C22F0E"/>
    <w:rsid w:val="00C24F0C"/>
    <w:rsid w:val="00C25094"/>
    <w:rsid w:val="00C307DC"/>
    <w:rsid w:val="00C33470"/>
    <w:rsid w:val="00C34362"/>
    <w:rsid w:val="00C5029E"/>
    <w:rsid w:val="00C533EB"/>
    <w:rsid w:val="00C6251F"/>
    <w:rsid w:val="00C65A72"/>
    <w:rsid w:val="00C660CA"/>
    <w:rsid w:val="00C66E01"/>
    <w:rsid w:val="00C67B8E"/>
    <w:rsid w:val="00C769E2"/>
    <w:rsid w:val="00C8036D"/>
    <w:rsid w:val="00C80626"/>
    <w:rsid w:val="00C82174"/>
    <w:rsid w:val="00C91076"/>
    <w:rsid w:val="00C91DE5"/>
    <w:rsid w:val="00CA0CF8"/>
    <w:rsid w:val="00CA54A4"/>
    <w:rsid w:val="00CA622D"/>
    <w:rsid w:val="00CB0053"/>
    <w:rsid w:val="00CB13E8"/>
    <w:rsid w:val="00CB34FA"/>
    <w:rsid w:val="00CB40C5"/>
    <w:rsid w:val="00CC0F57"/>
    <w:rsid w:val="00CC7256"/>
    <w:rsid w:val="00CC7FBC"/>
    <w:rsid w:val="00CD7A46"/>
    <w:rsid w:val="00CE0BC4"/>
    <w:rsid w:val="00CE6461"/>
    <w:rsid w:val="00CE7810"/>
    <w:rsid w:val="00CF0E37"/>
    <w:rsid w:val="00CF3424"/>
    <w:rsid w:val="00CF39D4"/>
    <w:rsid w:val="00CF49A9"/>
    <w:rsid w:val="00D00A0C"/>
    <w:rsid w:val="00D00B28"/>
    <w:rsid w:val="00D01F8F"/>
    <w:rsid w:val="00D034AB"/>
    <w:rsid w:val="00D03B57"/>
    <w:rsid w:val="00D120A9"/>
    <w:rsid w:val="00D14649"/>
    <w:rsid w:val="00D1516F"/>
    <w:rsid w:val="00D162C0"/>
    <w:rsid w:val="00D221B3"/>
    <w:rsid w:val="00D2556C"/>
    <w:rsid w:val="00D26695"/>
    <w:rsid w:val="00D26B3F"/>
    <w:rsid w:val="00D27F1F"/>
    <w:rsid w:val="00D308D8"/>
    <w:rsid w:val="00D30E87"/>
    <w:rsid w:val="00D32392"/>
    <w:rsid w:val="00D34EE0"/>
    <w:rsid w:val="00D375BD"/>
    <w:rsid w:val="00D42B32"/>
    <w:rsid w:val="00D43490"/>
    <w:rsid w:val="00D44009"/>
    <w:rsid w:val="00D457A5"/>
    <w:rsid w:val="00D471D8"/>
    <w:rsid w:val="00D47378"/>
    <w:rsid w:val="00D51602"/>
    <w:rsid w:val="00D60499"/>
    <w:rsid w:val="00D61A01"/>
    <w:rsid w:val="00D669F8"/>
    <w:rsid w:val="00D709C3"/>
    <w:rsid w:val="00D7227C"/>
    <w:rsid w:val="00D736D3"/>
    <w:rsid w:val="00D74089"/>
    <w:rsid w:val="00D80188"/>
    <w:rsid w:val="00D824DA"/>
    <w:rsid w:val="00D90CD1"/>
    <w:rsid w:val="00D93D04"/>
    <w:rsid w:val="00DA2798"/>
    <w:rsid w:val="00DB3111"/>
    <w:rsid w:val="00DB3B87"/>
    <w:rsid w:val="00DB5741"/>
    <w:rsid w:val="00DB780B"/>
    <w:rsid w:val="00DC3D22"/>
    <w:rsid w:val="00DC5684"/>
    <w:rsid w:val="00DD0F89"/>
    <w:rsid w:val="00DD4924"/>
    <w:rsid w:val="00DE213C"/>
    <w:rsid w:val="00DF08A1"/>
    <w:rsid w:val="00DF0951"/>
    <w:rsid w:val="00DF2822"/>
    <w:rsid w:val="00DF5E55"/>
    <w:rsid w:val="00E0038E"/>
    <w:rsid w:val="00E0094E"/>
    <w:rsid w:val="00E0141C"/>
    <w:rsid w:val="00E01495"/>
    <w:rsid w:val="00E03097"/>
    <w:rsid w:val="00E1362C"/>
    <w:rsid w:val="00E329DC"/>
    <w:rsid w:val="00E35D7C"/>
    <w:rsid w:val="00E35F49"/>
    <w:rsid w:val="00E401D7"/>
    <w:rsid w:val="00E47933"/>
    <w:rsid w:val="00E53538"/>
    <w:rsid w:val="00E555BD"/>
    <w:rsid w:val="00E55DD0"/>
    <w:rsid w:val="00E622A7"/>
    <w:rsid w:val="00E67305"/>
    <w:rsid w:val="00E71854"/>
    <w:rsid w:val="00E71F2F"/>
    <w:rsid w:val="00E80646"/>
    <w:rsid w:val="00E82F67"/>
    <w:rsid w:val="00E912B9"/>
    <w:rsid w:val="00E92C7A"/>
    <w:rsid w:val="00EA2E28"/>
    <w:rsid w:val="00EA4FE7"/>
    <w:rsid w:val="00EA6547"/>
    <w:rsid w:val="00EB2339"/>
    <w:rsid w:val="00EB434B"/>
    <w:rsid w:val="00EB565A"/>
    <w:rsid w:val="00EC41E7"/>
    <w:rsid w:val="00EC6871"/>
    <w:rsid w:val="00EC78F2"/>
    <w:rsid w:val="00ED53C9"/>
    <w:rsid w:val="00ED764D"/>
    <w:rsid w:val="00EE23FD"/>
    <w:rsid w:val="00EF0FD5"/>
    <w:rsid w:val="00EF5009"/>
    <w:rsid w:val="00EF6F98"/>
    <w:rsid w:val="00F00DE2"/>
    <w:rsid w:val="00F03FE3"/>
    <w:rsid w:val="00F0483E"/>
    <w:rsid w:val="00F12967"/>
    <w:rsid w:val="00F142A6"/>
    <w:rsid w:val="00F14E07"/>
    <w:rsid w:val="00F152C1"/>
    <w:rsid w:val="00F2092C"/>
    <w:rsid w:val="00F27089"/>
    <w:rsid w:val="00F31C50"/>
    <w:rsid w:val="00F57385"/>
    <w:rsid w:val="00F63CD1"/>
    <w:rsid w:val="00F66E67"/>
    <w:rsid w:val="00F72CA5"/>
    <w:rsid w:val="00F74508"/>
    <w:rsid w:val="00F77DFB"/>
    <w:rsid w:val="00F84D4F"/>
    <w:rsid w:val="00F86C76"/>
    <w:rsid w:val="00F9188E"/>
    <w:rsid w:val="00F93684"/>
    <w:rsid w:val="00FA0392"/>
    <w:rsid w:val="00FA2A9A"/>
    <w:rsid w:val="00FB2820"/>
    <w:rsid w:val="00FB2A94"/>
    <w:rsid w:val="00FB55C6"/>
    <w:rsid w:val="00FC0609"/>
    <w:rsid w:val="00FC2688"/>
    <w:rsid w:val="00FD17A1"/>
    <w:rsid w:val="00FD20F0"/>
    <w:rsid w:val="00FD5069"/>
    <w:rsid w:val="00FF03A2"/>
    <w:rsid w:val="00FF4836"/>
    <w:rsid w:val="00FF5EBD"/>
    <w:rsid w:val="00FF6159"/>
    <w:rsid w:val="00FF6798"/>
    <w:rsid w:val="5D293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C875"/>
  <w15:docId w15:val="{60E29F18-76F9-4A86-BFC2-6578BAA18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rPr>
      <w:sz w:val="23"/>
      <w:szCs w:val="22"/>
      <w:lang w:eastAsia="en-US"/>
    </w:rPr>
  </w:style>
  <w:style w:type="paragraph" w:styleId="Nagwek1">
    <w:name w:val="heading 1"/>
    <w:basedOn w:val="Normalny"/>
    <w:next w:val="Normalny"/>
    <w:link w:val="Nagwek1Znak"/>
    <w:uiPriority w:val="9"/>
    <w:qFormat/>
    <w:pPr>
      <w:keepNext/>
      <w:pBdr>
        <w:top w:val="single" w:sz="4" w:space="1" w:color="auto"/>
        <w:left w:val="single" w:sz="4" w:space="4" w:color="auto"/>
        <w:bottom w:val="single" w:sz="4" w:space="1" w:color="auto"/>
        <w:right w:val="single" w:sz="4" w:space="4" w:color="auto"/>
      </w:pBdr>
      <w:shd w:val="clear" w:color="auto" w:fill="002060"/>
      <w:spacing w:before="240" w:after="240" w:line="240" w:lineRule="auto"/>
      <w:outlineLvl w:val="0"/>
    </w:pPr>
    <w:rPr>
      <w:rFonts w:ascii="Georgia" w:hAnsi="Georgia"/>
      <w:color w:val="FFFFFF" w:themeColor="background1"/>
      <w:sz w:val="36"/>
      <w:szCs w:val="24"/>
      <w:lang w:val="en-US"/>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line="240" w:lineRule="auto"/>
    </w:pPr>
    <w:rPr>
      <w:sz w:val="20"/>
      <w:szCs w:val="20"/>
    </w:rPr>
  </w:style>
  <w:style w:type="character" w:styleId="UyteHipercze">
    <w:name w:val="FollowedHyperlink"/>
    <w:basedOn w:val="Domylnaczcionkaakapitu"/>
    <w:uiPriority w:val="99"/>
    <w:semiHidden/>
    <w:unhideWhenUsed/>
    <w:rPr>
      <w:color w:val="800080" w:themeColor="followedHyperlink"/>
      <w:u w:val="single"/>
    </w:rPr>
  </w:style>
  <w:style w:type="paragraph" w:styleId="Stopka">
    <w:name w:val="footer"/>
    <w:basedOn w:val="Normalny"/>
    <w:link w:val="StopkaZnak"/>
    <w:uiPriority w:val="99"/>
    <w:unhideWhenUsed/>
    <w:pPr>
      <w:tabs>
        <w:tab w:val="center" w:pos="4513"/>
        <w:tab w:val="right" w:pos="9026"/>
      </w:tabs>
      <w:spacing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line="240" w:lineRule="auto"/>
    </w:pPr>
    <w:rPr>
      <w:rFonts w:asciiTheme="minorHAnsi" w:hAnsiTheme="minorHAnsi"/>
      <w:sz w:val="20"/>
      <w:szCs w:val="20"/>
    </w:rPr>
  </w:style>
  <w:style w:type="paragraph" w:styleId="Nagwek">
    <w:name w:val="header"/>
    <w:basedOn w:val="Normalny"/>
    <w:link w:val="NagwekZnak"/>
    <w:uiPriority w:val="99"/>
    <w:unhideWhenUsed/>
    <w:pPr>
      <w:tabs>
        <w:tab w:val="center" w:pos="4513"/>
        <w:tab w:val="right" w:pos="9026"/>
      </w:tabs>
      <w:spacing w:line="240" w:lineRule="auto"/>
    </w:pPr>
  </w:style>
  <w:style w:type="character" w:styleId="Hipercze">
    <w:name w:val="Hyperlink"/>
    <w:basedOn w:val="Domylnaczcionkaakapitu"/>
    <w:uiPriority w:val="99"/>
    <w:unhideWhenUsed/>
    <w:rPr>
      <w:color w:val="0000FF" w:themeColor="hyperlink"/>
      <w:u w:val="single"/>
    </w:rPr>
  </w:style>
  <w:style w:type="table" w:styleId="Tabela-Siatka">
    <w:name w:val="Table Grid"/>
    <w:basedOn w:val="Standardowy"/>
    <w:uiPriority w:val="3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pPr>
      <w:spacing w:line="240" w:lineRule="auto"/>
    </w:pPr>
    <w:rPr>
      <w:rFonts w:ascii="Georgia" w:hAnsi="Georgia"/>
      <w:color w:val="0070C0"/>
      <w:sz w:val="48"/>
      <w:szCs w:val="24"/>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Nagwek1Znak">
    <w:name w:val="Nagłówek 1 Znak"/>
    <w:basedOn w:val="Domylnaczcionkaakapitu"/>
    <w:link w:val="Nagwek1"/>
    <w:uiPriority w:val="9"/>
    <w:rPr>
      <w:rFonts w:ascii="Georgia" w:hAnsi="Georgia"/>
      <w:color w:val="FFFFFF" w:themeColor="background1"/>
      <w:sz w:val="36"/>
      <w:szCs w:val="24"/>
      <w:shd w:val="clear" w:color="auto" w:fill="002060"/>
      <w:lang w:val="en-US"/>
    </w:rPr>
  </w:style>
  <w:style w:type="character" w:customStyle="1" w:styleId="TytuZnak">
    <w:name w:val="Tytuł Znak"/>
    <w:basedOn w:val="Domylnaczcionkaakapitu"/>
    <w:link w:val="Tytu"/>
    <w:uiPriority w:val="10"/>
    <w:rPr>
      <w:rFonts w:ascii="Georgia" w:hAnsi="Georgia"/>
      <w:color w:val="0070C0"/>
      <w:sz w:val="48"/>
      <w:szCs w:val="24"/>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365F91" w:themeColor="accent1" w:themeShade="BF"/>
      <w:sz w:val="26"/>
      <w:szCs w:val="26"/>
    </w:rPr>
  </w:style>
  <w:style w:type="character" w:customStyle="1" w:styleId="NagwekZnak">
    <w:name w:val="Nagłówek Znak"/>
    <w:basedOn w:val="Domylnaczcionkaakapitu"/>
    <w:link w:val="Nagwek"/>
    <w:uiPriority w:val="99"/>
    <w:rPr>
      <w:sz w:val="23"/>
    </w:rPr>
  </w:style>
  <w:style w:type="character" w:customStyle="1" w:styleId="StopkaZnak">
    <w:name w:val="Stopka Znak"/>
    <w:basedOn w:val="Domylnaczcionkaakapitu"/>
    <w:link w:val="Stopka"/>
    <w:uiPriority w:val="99"/>
    <w:rPr>
      <w:sz w:val="23"/>
    </w:rPr>
  </w:style>
  <w:style w:type="character" w:styleId="Tekstzastpczy">
    <w:name w:val="Placeholder Text"/>
    <w:basedOn w:val="Domylnaczcionkaakapitu"/>
    <w:uiPriority w:val="99"/>
    <w:semiHidden/>
    <w:rPr>
      <w:color w:val="808080"/>
    </w:rPr>
  </w:style>
  <w:style w:type="character" w:customStyle="1" w:styleId="markedcontent">
    <w:name w:val="markedcontent"/>
    <w:basedOn w:val="Domylnaczcionkaakapitu"/>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Bezodstpw">
    <w:name w:val="No Spacing"/>
    <w:uiPriority w:val="1"/>
    <w:qFormat/>
    <w:rPr>
      <w:sz w:val="23"/>
      <w:szCs w:val="22"/>
      <w:lang w:val="en-GB" w:eastAsia="en-US"/>
    </w:rPr>
  </w:style>
  <w:style w:type="character" w:customStyle="1" w:styleId="TekstprzypisudolnegoZnak">
    <w:name w:val="Tekst przypisu dolnego Znak"/>
    <w:basedOn w:val="Domylnaczcionkaakapitu"/>
    <w:link w:val="Tekstprzypisudolnego"/>
    <w:uiPriority w:val="99"/>
    <w:semiHidden/>
    <w:rPr>
      <w:rFonts w:asciiTheme="minorHAnsi" w:hAnsiTheme="minorHAnsi"/>
      <w:sz w:val="20"/>
      <w:szCs w:val="20"/>
      <w:lang w:val="pl-PL"/>
    </w:rPr>
  </w:style>
  <w:style w:type="paragraph" w:styleId="Akapitzlist">
    <w:name w:val="List Paragraph"/>
    <w:basedOn w:val="Normalny"/>
    <w:uiPriority w:val="34"/>
    <w:qFormat/>
    <w:pPr>
      <w:spacing w:after="160" w:line="259" w:lineRule="auto"/>
      <w:ind w:left="720"/>
      <w:contextualSpacing/>
    </w:pPr>
    <w:rPr>
      <w:rFonts w:asciiTheme="minorHAnsi" w:hAnsiTheme="minorHAnsi"/>
      <w:sz w:val="22"/>
    </w:rPr>
  </w:style>
  <w:style w:type="paragraph" w:customStyle="1" w:styleId="Poprawka1">
    <w:name w:val="Poprawka1"/>
    <w:hidden/>
    <w:uiPriority w:val="99"/>
    <w:semiHidden/>
    <w:rPr>
      <w:sz w:val="23"/>
      <w:szCs w:val="22"/>
      <w:lang w:val="en-GB" w:eastAsia="en-US"/>
    </w:rPr>
  </w:style>
  <w:style w:type="character" w:customStyle="1" w:styleId="hgkelc">
    <w:name w:val="hgkelc"/>
    <w:basedOn w:val="Domylnaczcionkaakapitu"/>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unhideWhenUsed/>
    <w:rsid w:val="00FF4836"/>
    <w:rPr>
      <w:sz w:val="23"/>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sap.sejm.gov.pl/isap.nsf/DocDetails.xsp?id=WMP201900006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c84d6c-8fa0-45bd-8cfc-d3e197c409ed" xsi:nil="true"/>
    <DAS_x002d_analizy xmlns="4a4f68e9-3f33-45b9-a085-f2832c45a180">NIE</DAS_x002d_analizy>
    <opis xmlns="4a4f68e9-3f33-45b9-a085-f2832c45a180" xsi:nil="true"/>
    <lcf76f155ced4ddcb4097134ff3c332f xmlns="4a4f68e9-3f33-45b9-a085-f2832c45a180">
      <Terms xmlns="http://schemas.microsoft.com/office/infopath/2007/PartnerControls"/>
    </lcf76f155ced4ddcb4097134ff3c332f>
    <Departament xmlns="4a4f68e9-3f33-45b9-a085-f2832c45a180" xsi:nil="true"/>
    <DaneZagreg xmlns="4a4f68e9-3f33-45b9-a085-f2832c45a180">TAK</DaneZagre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56F75422AC03479FB5B603D029EB12" ma:contentTypeVersion="24" ma:contentTypeDescription="Utwórz nowy dokument." ma:contentTypeScope="" ma:versionID="8a91d2b66d1b523ee85a9641cb3d703d">
  <xsd:schema xmlns:xsd="http://www.w3.org/2001/XMLSchema" xmlns:xs="http://www.w3.org/2001/XMLSchema" xmlns:p="http://schemas.microsoft.com/office/2006/metadata/properties" xmlns:ns2="4a4f68e9-3f33-45b9-a085-f2832c45a180" xmlns:ns3="b1c84d6c-8fa0-45bd-8cfc-d3e197c409ed" targetNamespace="http://schemas.microsoft.com/office/2006/metadata/properties" ma:root="true" ma:fieldsID="d79066c001e3b05e449af7c84a63c79c" ns2:_="" ns3:_="">
    <xsd:import namespace="4a4f68e9-3f33-45b9-a085-f2832c45a180"/>
    <xsd:import namespace="b1c84d6c-8fa0-45bd-8cfc-d3e197c409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opis" minOccurs="0"/>
                <xsd:element ref="ns2:Departament" minOccurs="0"/>
                <xsd:element ref="ns2:DAS_x002d_analizy" minOccurs="0"/>
                <xsd:element ref="ns2:DaneZagre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f68e9-3f33-45b9-a085-f2832c45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835e703-0ab1-479c-86ae-40704161ae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opis" ma:index="26" nillable="true" ma:displayName="opis" ma:format="Dropdown" ma:internalName="opis">
      <xsd:simpleType>
        <xsd:restriction base="dms:Text">
          <xsd:maxLength value="255"/>
        </xsd:restriction>
      </xsd:simpleType>
    </xsd:element>
    <xsd:element name="Departament" ma:index="27" nillable="true" ma:displayName="Departament" ma:format="Dropdown" ma:internalName="Departament">
      <xsd:complexType>
        <xsd:complexContent>
          <xsd:extension base="dms:MultiChoice">
            <xsd:sequence>
              <xsd:element name="Value" maxOccurs="unbounded" minOccurs="0" nillable="true">
                <xsd:simpleType>
                  <xsd:restriction base="dms:Choice">
                    <xsd:enumeration value="DP"/>
                    <xsd:enumeration value="DRKM"/>
                    <xsd:enumeration value="DZP"/>
                    <xsd:enumeration value="DOK"/>
                    <xsd:enumeration value="DDS"/>
                    <xsd:enumeration value="DL"/>
                    <xsd:enumeration value="DeZ"/>
                    <xsd:enumeration value="DEPZ"/>
                    <xsd:enumeration value="DWM"/>
                    <xsd:enumeration value="DRZ"/>
                    <xsd:enumeration value="DA"/>
                  </xsd:restriction>
                </xsd:simpleType>
              </xsd:element>
            </xsd:sequence>
          </xsd:extension>
        </xsd:complexContent>
      </xsd:complexType>
    </xsd:element>
    <xsd:element name="DAS_x002d_analizy" ma:index="28" nillable="true" ma:displayName="DAS-analizy" ma:default="NIE" ma:format="Dropdown" ma:internalName="DAS_x002d_analizy">
      <xsd:simpleType>
        <xsd:restriction base="dms:Choice">
          <xsd:enumeration value="TAK"/>
          <xsd:enumeration value="NIE"/>
        </xsd:restriction>
      </xsd:simpleType>
    </xsd:element>
    <xsd:element name="DaneZagreg" ma:index="29" nillable="true" ma:displayName="DaneZagreg" ma:default="TAK" ma:format="Dropdown" ma:internalName="DaneZagreg">
      <xsd:simpleType>
        <xsd:restriction base="dms:Choice">
          <xsd:enumeration value="TAK"/>
          <xsd:enumeration value="NIE"/>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c84d6c-8fa0-45bd-8cfc-d3e197c409ed"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c82463e4-4bdf-4158-8911-90c7514e3e82}" ma:internalName="TaxCatchAll" ma:readOnly="false" ma:showField="CatchAllData" ma:web="b1c84d6c-8fa0-45bd-8cfc-d3e197c40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7711F-5296-474A-9193-3213806CD4E8}">
  <ds:schemaRefs>
    <ds:schemaRef ds:uri="http://schemas.microsoft.com/sharepoint/v3/contenttype/forms"/>
  </ds:schemaRefs>
</ds:datastoreItem>
</file>

<file path=customXml/itemProps2.xml><?xml version="1.0" encoding="utf-8"?>
<ds:datastoreItem xmlns:ds="http://schemas.openxmlformats.org/officeDocument/2006/customXml" ds:itemID="{ACB40A47-0CE3-466E-9656-438017E7B38A}">
  <ds:schemaRefs>
    <ds:schemaRef ds:uri="http://schemas.microsoft.com/office/2006/metadata/properties"/>
    <ds:schemaRef ds:uri="http://schemas.microsoft.com/office/infopath/2007/PartnerControls"/>
    <ds:schemaRef ds:uri="b1c84d6c-8fa0-45bd-8cfc-d3e197c409ed"/>
    <ds:schemaRef ds:uri="4a4f68e9-3f33-45b9-a085-f2832c45a180"/>
  </ds:schemaRefs>
</ds:datastoreItem>
</file>

<file path=customXml/itemProps3.xml><?xml version="1.0" encoding="utf-8"?>
<ds:datastoreItem xmlns:ds="http://schemas.openxmlformats.org/officeDocument/2006/customXml" ds:itemID="{93E96851-78B8-4AC0-8869-78D94A714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f68e9-3f33-45b9-a085-f2832c45a180"/>
    <ds:schemaRef ds:uri="b1c84d6c-8fa0-45bd-8cfc-d3e197c40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BA5CF-986F-4EB2-ABBD-1C572421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12</Pages>
  <Words>3299</Words>
  <Characters>19796</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DPIA suggested process and template</vt:lpstr>
    </vt:vector>
  </TitlesOfParts>
  <Company/>
  <LinksUpToDate>false</LinksUpToDate>
  <CharactersWithSpaces>23049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DPIA suggested process and template</dc:title>
  <dc:creator>Katharine Hanrahan</dc:creator>
  <cp:lastModifiedBy>Woźnialis Anna</cp:lastModifiedBy>
  <cp:revision>24</cp:revision>
  <dcterms:created xsi:type="dcterms:W3CDTF">2026-02-26T12:45:00Z</dcterms:created>
  <dcterms:modified xsi:type="dcterms:W3CDTF">2026-07-07T13:06:00Z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0x0101009656F75422AC03479FB5B603D029EB12</vt:lpwstr>
  </property>
  <property fmtid="{D5CDD505-2E9C-101B-9397-08002B2CF9AE}" pid="3" name="_dlc_DocIdItemGuid">
    <vt:lpwstr>0bad0418-77ea-4ecd-966a-dec3f7718644</vt:lpwstr>
  </property>
  <property fmtid="{D5CDD505-2E9C-101B-9397-08002B2CF9AE}" pid="4" name="TaxKeyword">
    <vt:lpwstr/>
  </property>
  <property fmtid="{D5CDD505-2E9C-101B-9397-08002B2CF9AE}" pid="5" name="TaxKeywordTaxHTField">
    <vt:lpwstr/>
  </property>
  <property fmtid="{D5CDD505-2E9C-101B-9397-08002B2CF9AE}" pid="6" name="KSOProductBuildVer">
    <vt:lpwstr>1033-12.2.0.13359</vt:lpwstr>
  </property>
  <property fmtid="{D5CDD505-2E9C-101B-9397-08002B2CF9AE}" pid="7" name="ICV">
    <vt:lpwstr>173A43B8CC8E424687FCB2356D0234F4_12</vt:lpwstr>
  </property>
  <property fmtid="{D5CDD505-2E9C-101B-9397-08002B2CF9AE}" pid="8" name="MediaServiceImageTags">
    <vt:lpwstr/>
  </property>
</Properties>
</file>